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A-6259/2012 vom 22. April 2013</w:t>
      </w:r>
    </w:p>
    <w:p>
      <w:r>
        <w:t>Bundesverwaltungsgericht, 2013-04-22, DE</w:t>
      </w:r>
    </w:p>
    <w:p>
      <w:r>
        <w:rPr>
          <w:b/>
        </w:rPr>
        <w:t xml:space="preserve">Quelle: </w:t>
      </w:r>
      <w:r>
        <w:t>https://mcp.opencaselaw.ch/entscheid/bvger_A-6259_2012</w:t>
      </w:r>
    </w:p>
    <w:p>
      <w:r>
        <w:t>FR: TAF A-6259/2012 du 22 avril 2013</w:t>
      </w:r>
    </w:p>
    <w:p>
      <w:r>
        <w:t>IT: TAF A-6259/2012 del 22 aprile 2013</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Der Sicherheitsnachweis ging nach Erlass der angefochtenen Verfügung am 21. Dezember 2012 bei der Netzbetreiberin ein. Der Beschwerdeführer stellt die Verpflichtung, als Eigentümer einer Liegenschaft einen Sicherheitsnachweis erbringen zu müssen, nicht in Frage. Die Beschwerde richtet sich demnach ausschliesslich noch gegen die Gebührenerhebung gemäss Ziffer 2 der angefochtenen Verfügung. An der Überprüfung der Rechtmässigkeit dieser Gebührenerhebung hat der Beschwerdeführer weiterhin ein aktuelles Rechtsschutzinteresse (Art. 48 Abs. 1 des Bundesgesetzes über das Verwaltungsverfahren vom 20. Dezember 1968 [VwVG, SR 172.021]). Auf die frist- und formgerecht eingereichte Beschwerde (Art. 50 Abs. 1 und Art. 52 Abs. 1 VwVG) ist daher insoweit einzutreten, als sie sich gegen die Gebührenerhebung richtet. Soweit sie sich gegen Ziffer 1 der angefochtenen Verfügung richtet, ist sie als gegenstandslos geworden abzuschreiben.</w:t>
      </w:r>
    </w:p>
    <w:p>
      <w:r>
        <w:rPr>
          <w:b/>
        </w:rPr>
        <w:t>E. 2</w:t>
      </w:r>
    </w:p>
    <w:p>
      <w:r>
        <w:t>Der Beschwerdeführer ist Miteigentümer der von der Kontrollpflicht betroffenen Liegenschaft. Die periodische Installationskontrolle und eine allenfalls daran anschliessende Mängelbehebung sind als gewöhnliche Verwaltungshandlungen im Sinn von Art. 647a des Schweizerischen Zivilgesetzbuchs vom 10. Dezember 1907 (ZGB, SR 210) zu qualifizieren, die zu veranlassen jeder Miteigentümer befugt ist. Es genügt deshalb, wenn sich die Verfügung der Vorinstanz wie vorliegend an einen einzigen Miteigentümer richtet (Urteil des Bundesverwaltungsgerichts A-705/2009 vom 31. Mai 2010 E. 3).</w:t>
      </w:r>
    </w:p>
    <w:p>
      <w:r>
        <w:rPr>
          <w:b/>
        </w:rPr>
        <w:t>E. 3.1</w:t>
      </w:r>
    </w:p>
    <w:p>
      <w:r>
        <w:t>Der Beschwerdeführer macht geltend, für die Versäumnisse des Elektroinstallateurs und der Kontrollstelle nicht verantwortlich zu sein. Am 14. April 2011 habe die Kontrollstelle D._______ die Installationskontrolle durchgeführt. Die Elektroinstallationsfirma E._______ habe danach im Herbst 2011 die festgestellten Mängel behoben. Nach Erhalt eines Schreibens der Vorinstanz vom 23. Februar 2012 habe er die säumige Elektroinstallationsfirma veranlasst, den Kontrollrapport mit dem Erledigungsvermerk der Kontrollstelle weiterzuleiten. Mit Mail vom 2. März 2012 habe diese die Weiterleitung bestätigt.</w:t>
      </w:r>
    </w:p>
    <w:p>
      <w:r>
        <w:rPr>
          <w:b/>
        </w:rPr>
        <w:t>E. 3.2</w:t>
      </w:r>
    </w:p>
    <w:p>
      <w:r>
        <w:t>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die Durchsetzung der periodischen Kontrolle der Vorinstanz (Art. 36 Abs. 1 und 3 NIV). Die Vorinstanz ist gemäss Art. 41 NIV berechtigt, für die Kontrolltätigkeit und für Verfügungen nach NIV Gebühren zu erheben.</w:t>
      </w:r>
    </w:p>
    <w:p>
      <w:r>
        <w:rPr>
          <w:b/>
        </w:rPr>
        <w:t>E. 3.3</w:t>
      </w:r>
    </w:p>
    <w:p>
      <w:r>
        <w:t>Vorliegend hat die Netzbetreiberin den Beschwerdeführer am 12. Oktober 2010 erstmals aufgefordert, einen Sicherheitsnachweis einzureichen. Nach Ablauf der angesetzten halbjährigen Frist erfolgten zwei Mahnungen am 23. Mai 2011 und 26. Juli 2011. Nachdem der Beschwerdeführer den Sicherheitsnachweis dennoch nicht eingereicht hatte, übergab die Netzbetreiberin die Angelegenheit mit Schreiben vom 17. November 2011 der Vorinstanz zur Durchsetzung. Die formellen Voraussetzungen für die Übergabe der Angelegenheit an die Vorinstanz (Aufforderung und zweimalige Mahnung) sind vorliegend somit erfüllt. Weiter ist die mit Schreiben der Vorinstanz vom 23. Februar 2012 angesetzte Frist verstrichen, ohne dass bei der Kontrollstelle der Sicherheitsnachweis einging. Dem Beschwerdeführer kann zwar kein persönliches Verschulden vorgeworfen werden. Er liess die im Kontrollbericht vom 18. April 2011 festgestellten Mängel nach seinen Angaben bereits im Herbst 2011 beheben. Dies ändert aber nichts am Umstand, dass der Sicherheitsnachweis bei der Netzbetreiberin erst am 21. Dezember 2012 und somit nach Erlass der angefochtenen Verfügung einging. Seiner Verantwortung als Grundeigentümer kann sich der Beschwerdeführer nicht mit Verweis auf ein Fehlverhalten des mit der Mängelbehebung beauftragten Elektrounternehmens resp. des mit der Ausstellung des Sicherheitsnachweises beauftragten Kontrollorgans entziehen. Ein solches könnte allenfalls zivilrechtliche Ansprüche des Beschwerdeführers begründen, seine öffentlich-rechtliche Verpflichtung, den Sicherheitsnachweis fristgerecht zu erbringen, bleibt davon indes unberührt (vgl. Urteile des Bundesverwaltungsgerichts A-3258/2012 vom 6. November 2012 E. 2.3 und A-1776/2011 vom 7. September 2011 E. 2.3 mit Hinweis). Die Vorinstanz hat die angedrohte kostenpflichtige Verfügung vom 22. November 2012 daher zu Recht erlassen.</w:t>
      </w:r>
    </w:p>
    <w:p>
      <w:r>
        <w:rPr>
          <w:b/>
        </w:rPr>
        <w:t>E. 3.4</w:t>
      </w:r>
    </w:p>
    <w:p>
      <w:r>
        <w:t>Damit ist die dem Beschwerdeführer auferlegte Gebühr dem Grundsatz nach nicht zu beanstanden. Zu prüfen bleibt deren Höhe: Art. 41 NIV verweist hierzu auf Art. 9 und 10 der Verordnung vom 7. Dezember 1992 über das Eidgenössische Starkstrominspektorat (Vo ESTI, SR 734.24). Danach betragen die Gebühren für den Erlass einer Verfügung höchstens Fr. 1'500.-- und sind nach dem tatsächlich entstandenen Aufwand zu bemessen (Art. 9 Abs. 1 Vo ESTI). Innerhalb dieses Gebührenrahmens kommt der Vorinstanz ein erheblicher Ermessensspielraum zu (vgl. Urteile des Bundesverwaltungsgerichts A-3258 vom 6. November 2012 E. 2.4 und A-1724/2012 vom 20. September 2012 E. 4.4). Die dem Beschwerdeführer auferlegte Gebühr von Fr. 600.-- bewegt sich im mittleren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als angemessen. Die Gebühr ist somit auch der Höhe nach nicht zu beanstanden.</w:t>
      </w:r>
    </w:p>
    <w:p>
      <w:r>
        <w:rPr>
          <w:b/>
        </w:rPr>
        <w:t>E. 3.5</w:t>
      </w:r>
    </w:p>
    <w:p>
      <w:r>
        <w:t>Die Beschwerde erweist sich demnach als unbegründet und ist abzuweisen.</w:t>
      </w:r>
    </w:p>
    <w:p>
      <w:r>
        <w:rPr>
          <w:b/>
        </w:rPr>
        <w:t>E. 4.1</w:t>
      </w:r>
    </w:p>
    <w:p>
      <w:r>
        <w:t>Bei diesem Ausgang des Verfahrens gilt der Beschwerdeführer als unterliegend, weshalb er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w:t>
      </w:r>
    </w:p>
    <w:p>
      <w:r>
        <w:rPr>
          <w:b/>
        </w:rPr>
        <w:t>E. 4.2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