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A-6245/2007 vom 13. Februar 2008</w:t>
      </w:r>
    </w:p>
    <w:p>
      <w:r>
        <w:t>Bundesverwaltungsgericht, 2008-02-13, DE</w:t>
      </w:r>
    </w:p>
    <w:p>
      <w:r>
        <w:rPr>
          <w:b/>
        </w:rPr>
        <w:t xml:space="preserve">Quelle: </w:t>
      </w:r>
      <w:r>
        <w:t>https://mcp.opencaselaw.ch/entscheid/bvger_A-6245_2007</w:t>
      </w:r>
    </w:p>
    <w:p>
      <w:r>
        <w:t>FR: TAF A-6245/2007 du 13 février 2008</w:t>
      </w:r>
    </w:p>
    <w:p>
      <w:r>
        <w:t>IT: TAF A-6245/2007 del 13 febbraio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w:t>
      </w:r>
    </w:p>
    <w:p>
      <w:r>
        <w:rPr>
          <w:b/>
        </w:rPr>
        <w:t>E. 1.2</w:t>
      </w:r>
    </w:p>
    <w:p>
      <w:r>
        <w:t>Der Einspracheentscheid der ESTV vom 13. August 2007 wurde der Beschwerdeführerin am 15. August 2007 zugestellt. Am 14. September 2007 übergab die Beschwerdeführerin ihre Beschwerde der Post zu Handen des Bundesverwaltungsgerichts. Sie hat folglich die 30-tägige Beschwerdefrist gemäss Art. 50 Abs. 1 VwVG eingehalten. Auf die form- und fristgerecht eingereichte Beschwerde ist somit einzutreten. Dem Antrag der ESTV auf Nichteintreten ist demnach nicht stattzugeben.</w:t>
      </w:r>
    </w:p>
    <w:p>
      <w:r>
        <w:rPr>
          <w:b/>
        </w:rPr>
        <w:t>E. 1.3</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2.1</w:t>
      </w:r>
    </w:p>
    <w:p>
      <w:r>
        <w:t>Der Steuer unterliegen gemäss Art. 5 Bst. a MWSTG die durch steuerpflichtige Personen im Inland gegen Entgelt erbrachten Lieferungen von Gegenständen, sofern es sich nicht ausdrücklich um von der Steuer ausgenommene Umsätze handelt (vgl. Art. 18 MWSTG). Die Steuer wird vom Entgelt berechnet (Art. 33 Abs. 1 MWSTG). Die Lieferung von abschliessend aufgezählten Gegenständen, darunter Ess- und Trinkwaren sowie Zeitungen, Zeitschriften und Bücher, unterliegt dem reduzierten Steuersatz von 2,4% (Art. 36 Abs. 1 Bst. a Ziff. 2 und Ziff. 9 MWSTG). Ansonsten ist der Normalsatz von 7,6% anwendbar (Art. 36 Abs. 3 MWSTG).</w:t>
      </w:r>
    </w:p>
    <w:p>
      <w:r>
        <w:rPr>
          <w:b/>
        </w:rPr>
        <w:t>E. 2.2</w:t>
      </w:r>
    </w:p>
    <w:p>
      <w:r>
        <w:t>Gemäss der Praxis der ESTV sind für die Steuerabrechnung im Detailhandel die effektiv erzielten Einnahmen gemäss Ladenkassen (Rekapitulationen bzw. Kassenbuch) sowie die Kreditverkäufe massgebend (Branchenbroschüre Nr. 6, Detailhandel, ESTV, September 2000, Ziff. 4.1). Eine Aufteilung der Verkaufsumsätze nach Steuersätzen allein mit Hilfe von Ladenkassen ist jedoch nur unter bestimmten Voraussetzungen zulässig, da ein solches Vorgehen verschiedene Fehlermöglichkeiten in sich birgt und zudem jeglicher Kontrollmöglichkeit entbehrt (Branchenbroschüre, a.a.O., Ziff. 4.2). Bei Grossbetrieben des Detailhandels hat die Aufteilung der effektiven Entgelte auf die Umsätze zum reduzierten Satz und zum Normalsatz grundsätzlich mit Hilfe eines Schlüssels zu erfolgen, welcher sich aufgrund des zu Detailhandelspreisen berechneten Wareneinkaufs ergibt. Der errechnete Schlüssel gilt jeweils für ein Jahr. Für die ersten drei Quartalsabrechnungen des laufenden Geschäftsjahres ist der Aufteilungsschlüssel des Vorjahres, resp. bei Eintritt in die Steuerpflicht ein provisorischer Schlüssel, anzuwenden. Ende Geschäftsjahr ist der Aufteilungsschlüssel des abgelaufenen Geschäftsjahres genau zu ermitteln. In der Abrechnung für das 4. Quartal des Geschäftsjahres ist dieser anzuwenden, und es sind die entsprechenden Richtigstellungen für die ersten drei Quartalsabrechnungen vorzunehmen (Branchenbroschüre Nr. 6, a.a.O., Ziff. 4.5). Eine Steuersatzaufteilung mit Hilfe von Scannerkassen darf nur vorgenommen werden, wenn folgende Bedingungen kumulativ erfüllt sind: (1) Das gesamte Warenangebot ist in den Artikelstammdaten mit dem zutreffenden Steuersatz zu codieren. (2) Änderungen der Artikelstammdaten sind zu protokollieren (Datum, Codierung, Artikelbezeichnung, alter/neuer Preis, alter/neuer MWST-Code). Die Protokolle sind innerhalb der Verjährungsfrist aufzubewahren. (3) Die Kassenzettel der Scannerkassen haben den formellen Anforderungen für den Vorsteuerabzug zu genügen, d.h. sie müssen in Form und Inhalt Ziff. 759 und Ziff. 761 ff. der Wegleitung 2001 zur Mehrwertsteuer entsprechen. Ferner ist auch Ziff. 785 zu beachten. (4) Je Steuersatzkategorie sind zwingend separate Aufwand- und Ertragskonti zu führen (Branchenbroschüre Detailhandel, a.a.O., Ziff. 4.3.1).</w:t>
      </w:r>
    </w:p>
    <w:p>
      <w:r>
        <w:rPr>
          <w:b/>
        </w:rPr>
        <w:t>E. 2.3</w:t>
      </w:r>
    </w:p>
    <w:p>
      <w:r>
        <w:t>Auf Verlangen des steuerpflichtigen Empfängers hat die steuerpflichtige Person über ihre Lieferung oder Dienstleistung eine Rechnung auszustellen, in der sie angeben muss: a. den Namen und die Adresse, unter denen sie im Register der steuerpflichtigen Personen eingetragen ist oder die sie im Geschäftsverkehr zulässigerweise verwendet, sowie die Nummer, unter der sie im Register der steuerpflichtigen Personen eingetragen ist; b. den Namen und die Adresse des Empfängers der Lieferung oder der Dienstleistung, wie er im Geschäftsverkehr zulässigerweise auftritt; c. Datum oder Zeitraum der Lieferung oder der Dienstleistung; d. Art, Gegenstand und Umfang der Lieferung oder der Dienstleistung; e. das Entgelt für die Lieferung oder die Dienstleistung; f. den Steuersatz und den vom Entgelt geschuldeten Steuerbetrag. Schliesst das Entgelt die Steuer ein, so genügt die Angabe des Steuersatzes (Art. 37 Abs. 1 MWSTG).</w:t>
      </w:r>
    </w:p>
    <w:p>
      <w:r>
        <w:rPr>
          <w:b/>
        </w:rPr>
        <w:t>E. 2.4</w:t>
      </w:r>
    </w:p>
    <w:p>
      <w:r>
        <w:t>Sowohl nach der Rechtsprechung als auch der Lehre zum Mehrwertsteuerrecht wird der Rechnung, die durch den Leistungserbringer zuhanden des Leistungsempfängers ausgestellt wird, eine zentrale Bedeutung beigemessen. Die Rechnung ist nicht ein reiner Buchungsbeleg, sondern sie stellt ein wichtiges Indiz dafür dar, dass der Aussteller auch Leistungserbringer ist und die mehrwertsteuerlich relevante Handlung überhaupt stattgefunden hat, sowie dafür, wer Verfügungsmacht im Sinne von Art. 6 MWSTG über einen Gegenstand hat. Gleichzeitig erklärt der Rechnungssteller dem Empfänger, dass er die ausgewiesene Mehrwertsteuer der ESTV abgeliefert hat oder noch abliefern wird. So bildet die Rechnung dem Empfänger Ausweis dafür, auf der Leistung laste die angegebene Steuer, und berechtigt sie den Leistungsempfänger direkt zum entsprechenden Vorsteuerabzug (BGE 131 II 190 E. 5; Urteile des Bundesgerichts vom 14. Juli 2005, veröffentlicht in Archiv für Schweizerisches Abgaberecht [ASA] 75 S. 497 ff. E. 3.3, 4.2, vom 31. Mai 2002, veröffentlicht in ASA 72 S. 732 E. 5a; Entscheide der Eidgenössischen Steuerrekurskommission [SRK] vom 3. Juni 2005, veröffentlicht in Verwaltungspraxis der Bundesbehörden [VPB] 69.127 E. 3a aa, vom 29. Juli 2004, veröffentlicht in VPB 69.11 E. 3a, je mit Hinweisen; Camenzind/Honauer/Vallender, Handbuch zum Mehrwertsteuergesetz (MWSTG), 2. Aufl., Bern/Stuttgart/Wien 2003, Rz. 1312 ff.; Jean-Marc Rivier/Annie Rochat Pauchard, Droit fiscal Suisse, La taxe sur la valeur ajoutée, Fribourg 2000, S. 221). Der mehrwertsteuerlichen Rechnung wird gar die Bedeutung eines "Checks auf den Bund" beigemessen. Die steuerpflichtigen Leistungsempfänger könnten darauf vertrauen und die darin ausgewiesene Mehrwertsteuer ohne eingehende Prüfung als Vorsteuer abziehen (Sandra Knopp Pisi, Das Selbstveranlagungsprinzip bei der Mehrwertsteuer - insbesondere die Bedeutung der Abrechnung mit oder ohne Vorbehalt, ASA 74 S. 396 E. 3.4; vgl. BGE 131 II 188 f. E. 3.4; Urteil des Bundesverwaltungsgerichts A-1438/2006 vom 11. Juni 2007 E. 3.2).</w:t>
      </w:r>
    </w:p>
    <w:p>
      <w:r>
        <w:rPr>
          <w:b/>
        </w:rPr>
        <w:t>E. 2.5</w:t>
      </w:r>
    </w:p>
    <w:p>
      <w:r>
        <w:t>Aufgrund der im Mehrwertsteuerrecht der Rechnung zukommenden Bedeutung hat sich in konstanter Rechtsprechung der Grundsatz entwickelt "fakturierte Mehrwertsteuer gleich geschuldete Mehrwertsteuer" (BGE 131 II 190 E. 5; Entscheid der SRK vom 11. September 2006, veröffentlicht in VPB 70.102 E. 2a, 4a aa, vgl. auch Urteil des Bundesgerichts vom 14. Juli 2005, veröffentlicht in ASA 75 S. 499 f. E. 4.2 f.), welcher selbst dann Geltung beansprucht, wenn die Steuer fälschlicherweise fakturiert wurde und es sich bei den Leistungserbringern oder den Leistungsempfängern um nicht Steuerpflichtige handelt (BGE 131 II 190 E. 5, E. 8.1 f.; Urteile des Bundesverwaltungsgerichts A-1628/2006 vom 21. Dezember 2007 E. 2.2, A-1438/2006 vom 11. Juni 2007 E. 3.2).</w:t>
      </w:r>
    </w:p>
    <w:p>
      <w:r>
        <w:rPr>
          <w:b/>
        </w:rPr>
        <w:t>E. 2.6</w:t>
      </w:r>
    </w:p>
    <w:p>
      <w:r>
        <w:t>Stellt sich nachträglich heraus, dass die dem Kunden fakturierte Mehrwertsteuer zu hoch oder zu niedrig berechnet wurde (Rechenfehler, Anwendung eines falschen Mehrwertsteuersatzes, unrichtige Berechnungsgrundlage, etc.), so ist eine Korrektur durch eine formell richtige Nachbelastung respektive Gutschrift möglich, welche einen neuen Zahlungsfluss oder eine Verrechnung bewirkt. In der Nachbelastung oder Gutschrift ist auf den ursprünglichen Beleg hinzuweisen. Der mehrwertsteuerpflichtige Leistungsempfänger hat eine entsprechende Korrektur des Vorsteuerabzugs vorzunehmen. Wenn die Berichtigung unterbleibt, sind gemäss Verwaltungspraxis allenfalls zu Unrecht oder zuviel berechnete Steuerbetreffnisse in voller Höhe geschuldet (Wegleitung 2001, Rz. 808). Diese Verwaltungspraxis wurde bereits mehrfach von der Rechtsprechung bestätigt (Urteile des Bundesgerichts 2A.406/2002 vom 31. März 2003 E. 4.3.1, 2A.642/2004 vom 14. Juli 2005 E. 3.4; BGE 131 II 185 E. 5; Urteile des Bundesverwaltungsgerichts A-1416/2006 vom 27. September 2007 E. 6.2.1, A-1375/2006 vom 27. September 2007 E. 7.2.2, A-1438/2006 vom 11. Juni 2007 E. 4.3).</w:t>
      </w:r>
    </w:p>
    <w:p>
      <w:r>
        <w:rPr>
          <w:b/>
        </w:rPr>
        <w:t>E. 2.7</w:t>
      </w:r>
    </w:p>
    <w:p>
      <w:r>
        <w:t>Nach neuem Verordnungsrecht anerkennt die ESTV auch Rechnungen und Rechnungen ersetzende Dokumente nach Art. 37 Abs. 1 und 3 MWSTG, welche die Anforderungen an die Angaben zu Namen und Adresse der steuerpflichtigen Person und zum Empfänger der Lieferung oder der Dienstleistung nach Art. 37 Abs. 1 Bst. a und b MWSTG nicht vollumfänglich erfüllen, sofern die tatsächlich vorhandenen Angaben die betreffenden Personen eindeutig identifizieren (Art. 15a MWSTGV, AS 2006 2353, in Kraft seit 1. Juli 2006). Allein aufgrund von Formmängeln soll keine Steuernachforderung erhoben werden, wenn erkennbar ist oder die steuerpflichtige Person nachweist, dass durch die Nichteinhaltung einer Formvorschrift des Gesetzes oder dieser Verordnung für die Erstellung von Belegen für den Bund kein Steuerausfall entstanden ist (Art. 45a MWSTGV). Art. 15a und Art. 45a MWSTGV wurden durch das Bundesverwaltungsgericht in konkreten Anwendungsakten als rechtmässig bestätigt. Ebenso schützte das Gericht die Praxis der ESTV, wonach diese Bestimmungen auch rückwirkend Anwendung finden (zum Ganzen: Urteile des Bundesverwaltungsgerichts A-1365/2006 vom 19. März 2007 E. 2.3, A-1352/2006 vom 25. April 2007 E. 4.2). Allerdings betreffen Art. 15a und Art. 45a MWSTGV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von Art. 15a und Art. 45a MWSTGV unberührt (Urteile des Bundesverwaltungsgerichts A-1628/2006 vom 21. Dezember 2007 E. 2.3, A-1462/2006 vom 6. September 2007 E. 2.2.4, A-1437/2006 vom 11. Juni 2007 E. 3.3, A-1476/2006 vom 26. April 2007 E. 5.2.2, A-1352 vom 25. April 2007 E. 6, A-1455/2006 vom 25. April 2007 E. 5.4). Vor diesem Hintergrund erhellt, dass die Rechnung auch nach Inkrafttreten der Art. 15a und Art. 45a MWSTGV ihre in mehrwertsteuerlicher Praxis und Lehre entwickelte materiellrechtliche Bedeutung (E. 2.4 und 2.5 hievor) nicht eingebüsst hat (Urteil des Bundesverwaltungsgerichts A-1438/2006 vom 11. Juni 2007 E. 3.4).</w:t>
      </w:r>
    </w:p>
    <w:p>
      <w:r>
        <w:rPr>
          <w:b/>
        </w:rPr>
        <w:t>E. 3.1</w:t>
      </w:r>
    </w:p>
    <w:p>
      <w:r>
        <w:t>Vom 1. Mai 2001 bis Ende 2001 stellte die Beschwerdeführerin auf ein neues Kassensystem (sog. "Scannerkassen") um. In dieser Übergangszeit wurde die Aufteilung des Umsatzes auf die beiden Steuersatzkategorien (reduzierter Satz/Normalsatz) noch nicht mit Hilfe der "Scannerkassen", sondern weiterhin anhand eines Schlüssels (sog. Belieferungsschlüssel) vorgenommen, der sich aufgrund des zu Detailhandelspreisen berechneten Wareneinkaufs ergab. Die Beschwerdeführerin stellte Schritt für Schritt auf das "Scannen" der Produkte beim Verkauf um. In der Übergangszeit gab es noch zahlreiche Artikel, die über keinen Barcode verfügten oder im System noch nicht aufgenommen worden waren. Diese Produkte wurden über die sog. Sortimentstasten erfasst. Es gab insgesamt vier Sortimentstasten: "Food", "Zeitungen/Bücher", "Blumen/Pflanzen" und "Non Food". Die beiden Sortimentstasten "Food" sowie "Zeitungen/ Bücher" waren dabei - mit Ausnahme hinsichtlich alkoholischer Getränke, die auch zum Sortiment "Food" gezählt wurden - mit einem (falschen) MWST-Code von 7,6%, anstatt 2,4%, hinterlegt. Bei einem Verkauf eines Produkts unter Anwendung dieser beiden Sortimentstasten wurde die Steuer auf dem entsprechenden Kassenzettel in der Folge, statt zum reduzierten Satz von 2,4%, zum Normalsatz von 7,6% ausgewiesen. Dieser Sachverhalt ist unbestritten. Im Streit liegt, ob die ausgewiesene Steuer oder die mit Hilfe des Belieferungsschlüssels deklarierte Steuer geschuldet ist.</w:t>
      </w:r>
    </w:p>
    <w:p>
      <w:r>
        <w:rPr>
          <w:b/>
        </w:rPr>
        <w:t>E. 3.2</w:t>
      </w:r>
    </w:p>
    <w:p>
      <w:r>
        <w:t>Die Beschwerdeführerin hat mit den betreffenden Kassenzetteln gegenüber den Käufern die Mehrwertsteuer zum Normalsatz ausgewiesen. Damit brachte sie dem Kunden gegenüber in verbindlicher Weise zum Ausdruck, sie kassiere für den Fiskus Mehrwertsteuern in diesem Umfang. Dieses Verhalten hat sich die Beschwerdeführerin anrechnen zu lassen. Die Mehrwertsteuer hat deshalb als im Umfang des Normalsatzes auf den Leistungsempfänger bzw. den Empfänger des Kassenzettels überwälzt zu gelten (E. 2.5), jedenfalls solange die Beschwerdeführerin ihren falschen Steuerausweis gegenüber dem Kunden nicht korrigiert (E. 2.6). Eine solche Berichtigung fand jedoch nicht statt. Folglich forderte die ESTV zu Recht von der Beschwerdeführerin die Differenz zwischen der abgerechneten und der fakturierten Steuer nach.</w:t>
      </w:r>
    </w:p>
    <w:p>
      <w:r>
        <w:rPr>
          <w:b/>
        </w:rPr>
        <w:t>E. 3.3</w:t>
      </w:r>
    </w:p>
    <w:p>
      <w:r>
        <w:t>Die Beschwerdeführerin wendet ein, sie habe in der fraglichen Zeit die Steuersatzaufteilung mittels des Belieferungsschlüssels vornehmen müssen, da sie die Voraussetzungen für eine Steuersatzaufteilung mit Hilfe der "Scannerkassen" nicht erfüllt habe. Die Falschcodierung bestimmter Sortimentstasten könne somit keine Rolle spielen. Das Argument, die ausgewiesene Steuer sei auch geschuldet, führe vorliegend im Ergebnis dazu, dass die ESTV sie verpflichte, über die MWST aufgrund des "Scannersystems" abzurechnen, obwohl sie hierzu im fraglichen Zeitpunkt gar nicht berechtigt gewesen sei. Der Einwand der Beschwerdeführerin ist nicht stichhaltig. Die Steuersatzaufteilung mittels des Belieferungsschlüssels stellt eine branchenspezifische Lösung im Detailhandel zur Abrechnung mit der ESTV dar (vgl. E. 2.2). Dies heisst jedoch nicht, dass die Beschwerdeführerin aufgrund dieser branchenspezifischen Methode von ihrer Pflicht befreit wäre, eine dem Kunden - unter Ausweis eines zu hohen Steuersatzes - zu hoch fakturierte Steuer gemäss dem Grundsatz "fakturierte Steuer gleich geschuldete Steuer" (allfällige Korrekturen gegenüber dem Kunden vorbehalten) auch abzuliefern bzw. die Differenz zwischen der (zu hoch) fakturierten und der abgerechneten Steuer der ESTV nachzuentrichten (E. 2.5 und 2.6). Der genannte Grundsatz und die Art der Abrechnung mit der ESTV sind auseinanderzuhalten. Der Grundsatz "fakturierte Steuer gleich geschuldete Steuer" gilt unabhängig von der Abrechnungsweise mit der ESTV. So bleibt er z.B. auch bei der Abrechnung mittels Saldosteuersätzen anwendbar (vgl. Spezialbroschüre Nr. 03a, Saldosteuersätze, ESTV, Juni 2004, Ziff. 10). Nicht von Bedeutung ist im Weiteren der Einwand der Beschwerdeführerin, dass sie den - offen ausgewiesenen - falschen Steuersatz bzw. die Falschcodierung aufgrund einer äusserst arbeitsaufwendigen und letztlich auch komplizierten Implementierung der "Scannerkassen" vorerst nicht bemerkt, den Fehler aber nach dessen Kenntnis innert relativ kurzer Zeit korrigiert habe. Im Gegensatz zur Ansicht der Beschwerdeführerin spielt es (zumindest) für das vorliegende Verfahren keine Rolle, ob der offene Ausweis eines falschen Steuersatzes in einer Rechnung absichtlich erfolgt ist oder nicht.</w:t>
      </w:r>
    </w:p>
    <w:p>
      <w:r>
        <w:rPr>
          <w:b/>
        </w:rPr>
        <w:t>E. 3.4</w:t>
      </w:r>
    </w:p>
    <w:p>
      <w:r>
        <w:t>Die Beschwerdeführerin macht zudem geltend, die Kassenzettel berechtigten den Leistungsempfänger nicht zum Vorsteuerabzug, weil es an der korrekten Angabe des Leistungserbringers fehle und zudem Sammelbegriffe wie "Food" nicht ausreichend seien. Es fehle daher definitiv an einer Missbrauchsmöglichkeit und ein Steuerausfall könne folglich ausgeschlossen werden. Die Beschwerdeführerin verkennt, dass vorliegend die Frage, ob die Kassenzettel alle Anforderungen an eine Rechnung im Sinn von Art. 37 Abs. 1 MWSTG erfüllen, nicht massgebend ist. Entscheidend ist, dass durch ihr Verhalten die Mehrwertsteuer als im Umfang des ausgewiesenen Normalsatzes auf den Leistungsempfänger überwälzt zu gelten hat und - bis zu einer allfälligen Rückerstattung der Mehrwertsteuer an den Käufer - einzig dem Fiskus ein Anspruch auf die entsprechend einkassierte Mehrwertsteuer zukommen kann; dies unabhängig davon, ob es sich beim Leistungsempfänger um einen Mehrwertsteuerpflichtigen handelt oder nicht. Das von der Beschwerdeführerin vorgebrachte Kriterium der Missbrauchsgefahr bzw. des Steuerausfalls stellt keine Bedingung für die Anwendung des Grundsatzes "fakturierte Steuer gleich geschuldete Steuer" dar (E. 2.5). Das Vorhandensein eines Steuerausfalls wäre allenfalls im Rahmen von Art. 45a MWSTGV zu prüfen (E. 2.7). Wie die ESTV in ihrer Vernehmlassung vom 10. Dezember 2007 jedoch zu Recht ausführt, stellt der Ausweis eines zu hohen MWST-Satzes bzw. die Fakturierung einer zu hohen Steuer nicht ein blosser Formmangel im Sinn von Art. 45a MWSTGV dar, sondern es liegt eine materiell falsche Rechnung vor. Der Grundsatz "fakturierte MWST gleich geschuldete MWST" steht deshalb im vorliegenden Fall einer Anwendung von Art. 45a und im Übrigen auch Art. 15a MWSTGV entgegen (E. 2.7 hievor; Urteil des Bundesverwaltungsgerichts A-1628/2006 vom 21. Dezember 2007 E. 3.2; Entscheide der SRK vom 11. September 2006, veröffentlicht in VPB 70.102 E. 4b, vom 4. September 2006 [CRC 2004-180/181] E. 5b/cc).</w:t>
      </w:r>
    </w:p>
    <w:p>
      <w:r>
        <w:rPr>
          <w:b/>
        </w:rPr>
        <w:t>E. 3.5</w:t>
      </w:r>
    </w:p>
    <w:p>
      <w:r>
        <w:t>Schliesslich sind die Ausführungen der Beschwerdeführerin, dass der Grundsatz "fakturierte Steuer gleich geschuldete Steuer" nur dann gelten könne, wenn sie die entsprechenden Kassenzettel auch tatsächlich den Kunden ausgehändigt habe, zwar zutreffend (vgl. Entscheid der SRK vom 6. Oktober 2004 [SRK 2003-004 und SRK 2003-005] E. 3c/aa; Urteil des Bundesgerichts vom 14. Juli 2005, a.a.O., E. 5.4); sie kann jedoch vorliegend daraus nichts zu ihren Gunsten ableiten, da sie dies unbestrittenermassen getan hat. Nicht gehört werden kann letztlich der Einwand der Beschwerdeführerin, dass die meisten Konsumenten den Kassenzettel nicht anschauen oder mitnehmen würden. Denn ob der Kunde den Kassenzettel tatsächlich anschaut oder mit sich nimmt, hat keinen Einfluss auf die Funktion dieses Beweismittels, das darüber Auskunft gibt, welche Waren gekauft wurden und dass diese sowie die MWST durch den Kunden bezahlt wurden (vgl. Urteil des Bundesgerichts vom 14. Juli 2005, a.a.O., E. 5.4). Entscheidend ist hier nicht das Verhalten der Kunden, sondern dasjenige der Beschwerdeführerin, mit dem sie die Steuer im Umfang des Normalsatzes auf die Leistungsempfänger überwälzte.</w:t>
      </w:r>
    </w:p>
    <w:p>
      <w:r>
        <w:rPr>
          <w:b/>
        </w:rPr>
        <w:t>E. 4</w:t>
      </w:r>
    </w:p>
    <w:p>
      <w:r>
        <w:t>Nach dem Gesagten ist die Beschwerde abzuweisen. Bei diesem Verfahrensausgang sind die Verfahrenskosten für das Beschwerdeverfahren vor dem Bundesverwaltungsgericht, die auf Fr. 40'000.-- festgesetzt werden, der Beschwerdeführerin aufzuerlegen (Art. 63 Abs. 1 VwVG in Verbindung mit Art. 4 des Reglements vom 11. Dezember 2006 über die Kosten und Entschädigungen vor dem Bundesverwaltungsgericht [VGKE, SR 173.320.2]) und mit dem geleisteten Kostenvorschuss von Fr. 40'000.-- zu verrechnen. Eine Parteientschädigung bleibt der Beschwerdeführerin bei diesem Verfahrensausgang von Gesetzes wegen versagt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