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A-6219/2020 vom 31. Mai 2021</w:t>
      </w:r>
    </w:p>
    <w:p>
      <w:r>
        <w:t>Bundesverwaltungsgericht, 2021-05-31, FR</w:t>
      </w:r>
    </w:p>
    <w:p>
      <w:r>
        <w:rPr>
          <w:b/>
        </w:rPr>
        <w:t xml:space="preserve">Quelle: </w:t>
      </w:r>
      <w:r>
        <w:t>https://mcp.opencaselaw.ch/entscheid/bvger_A-6219_2020</w:t>
      </w:r>
    </w:p>
    <w:p>
      <w:r>
        <w:t>FR: TAF A-6219/2020 du 31 mai 2021</w:t>
      </w:r>
    </w:p>
    <w:p>
      <w:r>
        <w:t>IT: TAF A-6219/2020 del 31 maggio 2021</w:t>
      </w:r>
    </w:p>
    <w:p>
      <w:pPr>
        <w:pStyle w:val="Heading2"/>
      </w:pPr>
      <w:r>
        <w:t>Regeste</w:t>
      </w:r>
    </w:p>
    <w:p>
      <w:r>
        <w:t>Assistance administrative</w:t>
      </w:r>
    </w:p>
    <w:p>
      <w:pPr>
        <w:pStyle w:val="Heading2"/>
      </w:pPr>
      <w:r>
        <w:t>Erwägungen</w:t>
      </w:r>
    </w:p>
    <w:p>
      <w:r>
        <w:rPr>
          <w:b/>
        </w:rPr>
        <w:t>E. 7</w:t>
      </w:r>
    </w:p>
    <w:p>
      <w:r>
        <w:t>Le recourant ne soulève aucun grief d'ordre matériel dans le cadre de son recours. Il ne conteste en effet que la signature « par ordre » dont on a vu qu'elle était en l'espèce admissible (consid. 3 supra). Quoi qu'il en soit, au vu de la jurisprudence présentée ci-avant (consid. 4), il sied de retenir que les renseignements requis par l'autorité fiscale française sont vraisemblablement pertinents (cf. ATF 146 II 150 consid. 6.1.3 et 6.2; arrêt du TAF A-3045/2020 du 1er avril 2020 consid. 5.1.2; cf. aussi consid. 4.3 supra). En second lieu, le Tribunal ne voit pas de motifs qui permettraient de remettre en doute le respect du principe de bonne foi et de l'interdiction des fishing expeditions (cf. ATF 146 II 150 consid. 6.1.3 et 6.2; arrêts du TAF A-3045/2020; A-3047/2020; A-3048/2020, tous du 29 mars 2021 consid. 1.4.3 [le TF a déclaré irrecevable les recours déposés contre ces décisions: arrêts du TF 2C_316/2021; 2C_319/202; 2C_320/2021, tous du 30 avril 2021] consid. 4.4 et 4.5 supra), du principe de subsidiarité (arrêts du TAF A-3045/2020; A-3047/2020; A-3048/2020, tous du 29 mars 2021 consid. 1.4.3 [le TF a déclaré irrecevable les recours déposés contre ces décisions : 2C_316/2021; 2C_319/2021; 2C_320/2021, tous du 30 avril 2021] consid. 4.7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4.8 supra). Compte tenu de la jurisprudence du Tribunal fédéral du 13 juillet 2020 (arrêts du TF 2C_537/2019 consid. 3.5; 2C_545/2019 consid. 4.7) les informations transmises ne peuvent être utilisées qu'à l'encontre du recourant dans le cadre d'une procédure conformément à l'art. 28 par. 2 CDI CH-FR, comme l'a indiqué à juste titre l'autorité dans ses deux décisions finales du 6 novembre 2020 (cf. ch. 2 du dispositif). 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 les recours déposés contre ces décisions: arrêts du TF 2C_316/2021; 2C_319/2021; 2C_320/2021, tous du 30 avril 2021).</w:t>
      </w:r>
    </w:p>
    <w:p>
      <w:r>
        <w:rPr>
          <w:b/>
        </w:rPr>
        <w:t>E. 8.1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sont prélevés sur l'avance de frais d'un même montant déjà versée.</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