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A-6198/2012 vom 3. September 2013</w:t>
      </w:r>
    </w:p>
    <w:p>
      <w:r>
        <w:t>Bundesverwaltungsgericht, 2013-09-03, DE</w:t>
      </w:r>
    </w:p>
    <w:p>
      <w:r>
        <w:rPr>
          <w:b/>
        </w:rPr>
        <w:t xml:space="preserve">Quelle: </w:t>
      </w:r>
      <w:r>
        <w:t>https://mcp.opencaselaw.ch/entscheid/bvger_A-6198_2012</w:t>
      </w:r>
    </w:p>
    <w:p>
      <w:r>
        <w:t>FR: TAF A-6198/2012 du 3 septembre 2013</w:t>
      </w:r>
    </w:p>
    <w:p>
      <w:r>
        <w:t>IT: TAF A-6198/2012 del 3 settembre 2013</w:t>
      </w:r>
    </w:p>
    <w:p>
      <w:pPr>
        <w:pStyle w:val="Heading2"/>
      </w:pPr>
      <w:r>
        <w:t>Regeste</w:t>
      </w:r>
    </w:p>
    <w:p>
      <w:r>
        <w:t>Mehrwertsteuer</w:t>
      </w:r>
    </w:p>
    <w:p>
      <w:pPr>
        <w:pStyle w:val="Heading2"/>
      </w:pPr>
      <w:r>
        <w:t>Erwägungen</w:t>
      </w:r>
    </w:p>
    <w:p>
      <w:r>
        <w:rPr>
          <w:b/>
        </w:rPr>
        <w:t>E. 1</w:t>
      </w:r>
    </w:p>
    <w:p>
      <w:r>
        <w:t>1.1 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Auf die funktionelle Zuständigkeit ist im Folgenden einzugehen, wobei zunächst festzustellen ist, welches Recht anwendbar ist.</w:t>
      </w:r>
    </w:p>
    <w:p>
      <w:r>
        <w:rPr>
          <w:b/>
        </w:rPr>
        <w:t>E. 1.2.1</w:t>
      </w:r>
    </w:p>
    <w:p>
      <w:r>
        <w:t>Am 1. Januar 2010 ist das Bundesgesetz vom 12. Juni 2009 über die Mehrwertsteuer (MWSTG, SR 641.20) in Kraft getreten. Der zu beurteilende Sachverhalt hat sich im Jahre 2010 ereignet und somit ausschliesslich nach Inkrafttreten des neuen Gesetzes, womit einzig dieses zur Anwendung kommt. Soweit im Folgenden auf die Rechtsprechung zum früheren Mehrwertsteuergesetz vom 2. September 1999 (aMWSTG, AS 2000 1300) verwiesen wird, liegt der Grund darin, dass diese - wie nachfolgend teilweise ausdrücklich ausgeführt - im vorliegenden Fall auch für das MWSTG übernommen werden kann.</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und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1.2.2.2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 1184/2012 vom 31. Mai 2012 E. 2 ff.).</w:t>
      </w:r>
    </w:p>
    <w:p>
      <w:r>
        <w:rPr>
          <w:b/>
        </w:rPr>
        <w:t>E. 1.2.3</w:t>
      </w:r>
    </w:p>
    <w:p>
      <w:r>
        <w:t>Der Erlass eines Einspracheentscheids setzt ausführungsgemäss voraus, dass vorgängig eine Verfügung ergangen ist, welche überhaupt Gegenstand eines Einspracheverfahrens bilden kann. Die Vorinstanz sieht diese Verfügung in der als "Verfügung" bezeichneten Einschätzungsmitteilung (EM) Nr. [...] vom 15. Dezember 2011. Freilich ist es nach neuerer Rechtsprechung des Bundesverwaltungsgerichts grundsätzlich nicht zulässig, eine Einschätzungsmitteilung direkt als Verfügung im Sinne von Art. 5 VwVG auszugestalten (vgl. Urteil des Bundesverwaltungsgerichts A-707/2013 vom 25. Juli 2013 E. 4.2 f., mit Hinweisen). Vorliegend stellt aber jedenfalls der als "Einspracheentscheid" bezeichnete Entscheid der ESTV vom 30. Oktober 2012 eine Verfügung gemäss Art. 5 VwVG dar. Indem die Beschwerdeführerin dagegen beim Bundesverwaltungsgericht Beschwerde erhob, hat sie einen allfälligen Verlust des Einspracheverfahrens (E. 1.2.2.1) zumindest in Kauf genommen. Ihre vorbehaltlose Beschwerdeführung direkt beim Bundesverwaltungsgericht ist unter diesen Umständen - in analoger Anwendung von Art. 83 Abs. 4 MWSTG - als "Zustimmung" zur Durchführung des Verfahrens der Sprungbeschwerde (E. 1.2.2.2) zu werten, zumal der "Einspracheentscheid" vom 30. Oktober 2012 einlässlich begründet ist (vgl. auch Urteil des Bundesverwaltungsgerichts A-707/2013 vom 25. Juli 2013 E. 1.2.3 und E. 4.2.5.3).</w:t>
      </w:r>
    </w:p>
    <w:p>
      <w:r>
        <w:rPr>
          <w:b/>
        </w:rPr>
        <w:t>E. 1.2.4</w:t>
      </w:r>
    </w:p>
    <w:p>
      <w:r>
        <w:t>Das Bundesverwaltungsgericht ist demnach für die Beurteilung der vorliegenden Beschwerde auch funktional zuständig.</w:t>
      </w:r>
    </w:p>
    <w:p>
      <w:r>
        <w:rPr>
          <w:b/>
        </w:rPr>
        <w:t>E. 1.3</w:t>
      </w:r>
    </w:p>
    <w:p>
      <w:r>
        <w:t>Die Beschwerdeführerin beantragt unter anderem die Aufhebung von Dispositiv-Ziff. 2 des "Einspracheentscheids", welche sich auf eine Steuernachforderung in der Höhe von Fr. 100'862.- zuzüglich Verzugszins seit dem 15. Oktober 2010 bezieht. Diese Steuernachforderung beruht im Umfang von Fr. 847.60 auf einer Nachbelastung unter der Bezeichnung "Champagner-Bezug Q._______" gemäss Position 2 der EM Nr. [...] (vgl. E. 2 des "Einspracheentscheids"). Da sich die Beschwerdeführerin weder in der Begründung ihres vorliegenden Rechtsmittels noch in ihrer unaufgefordert eingereichten Stellungnahme vom 7. März 2013 mit der erwähnten Nachbelastung in der Höhe von Fr. 847.60 (zuzüglich Verzugszins) auseinandersetzt, ist trotz ihres genannten Antrages davon auszugehen, dass der "Einspracheentscheid" insoweit nicht angefochten ist.</w:t>
      </w:r>
    </w:p>
    <w:p>
      <w:r>
        <w:rPr>
          <w:b/>
        </w:rPr>
        <w:t>E. 1.4</w:t>
      </w:r>
    </w:p>
    <w:p>
      <w:r>
        <w:t>Auf die im Übrigen frist- und formgerecht eingereichte Beschwerde ist einzutreten.</w:t>
      </w:r>
    </w:p>
    <w:p>
      <w:r>
        <w:rPr>
          <w:b/>
        </w:rPr>
        <w:t>E. 1.5</w:t>
      </w:r>
    </w:p>
    <w:p>
      <w:r>
        <w:t>Im Verwaltungsverfahren und der Verwaltungsrechtspflege gilt der Untersuchungsgrundsatz, wonach die Behörde den rechtserheblichen Sachverhalt von Amtes wegen festzustellen hat (Art. 12 VwVG). Dieser Grundsatz gilt auch im Mehrwertsteuerrecht, da nach Art. 81 Abs. 1 MWSTG der Vorbehalt für Steuerverfahren gemäss Art. 2 Abs. 1 VwVG auf das Mehrwertsteuerrecht keine Anwendung findet. Gelangt der Richter aufgrund der Beweiswürdigung nicht zur Überzeugung, eine rechtserhebliche Tatsache habe sich verwirklicht, so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Bundesgerichts 2C_232/2012 vom 23. Juli 2012 E. 3.5; Urteil des Bundesverwaltungsgerichts A 4206/2012 vom 13. März 2013 E. 2.2.1).</w:t>
      </w:r>
    </w:p>
    <w:p>
      <w:r>
        <w:rPr>
          <w:b/>
        </w:rPr>
        <w:t>E. 2.1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Als Dienstleistung gilt jede Leistung, die keine Lieferung ist (Art. 3 Bst. e MWSTG).</w:t>
      </w:r>
    </w:p>
    <w:p>
      <w:r>
        <w:rPr>
          <w:b/>
        </w:rPr>
        <w:t>E. 2.2</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Befreit ist ein Steuerpflichtiger u.a., wenn er im Inland innerhalb eines Jahres weniger als Fr. 100'000.- Umsatz aus steuerbaren Leistungen erzielt, sofern er nicht auf die Befreiung von der Steuerpflicht verzichtet (Art. 10 Abs. 2 Bst. a MWSTG).</w:t>
      </w:r>
    </w:p>
    <w:p>
      <w:r>
        <w:rPr>
          <w:b/>
        </w:rPr>
        <w:t>E. 2.2.1</w:t>
      </w:r>
    </w:p>
    <w:p>
      <w:r>
        <w:t>Die gefestigte Rechtsprechung zum Begriff der mehrwertsteuerlichen Selbständigkeit gemäss Art. 21 Abs. 1 aMWSTG kann auch für das neue Recht übernommen werden (vgl. Urteil des Bundesverwaltungsgerichts A-849/2012 vom 27. September 2012 E. 3.1; vgl. ferner Regine Schluckebier, in: Felix Geiger/Regine Schluckebier [Hrsg.], MWSTG Kommentar, Zürich 2012 [nachfolgend: MWSTG Kommentar], N. 40 ff. zu Art. 10 MWSTG). Danach handelt es sich beim Begriff der mehrwertsteuerlichen Selbständigkeit um einen unbe­stimmten Rechtsbegriff. Wichtige Indizien für die selbständige Aus­übung der Tätigkeit sind nach dieser Rechtsprechung insbesondere das Handeln und Auftreten in eigenem Namen gegenüber Dritten, das Tragen des unternehmer­ischen Risikos (Gewinn und Verlust),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Ob eine Tätigkeit im mehrwertsteuer­lichen Sinn als selbständig oder unselb­ständig anzusehen ist, bestimmt sich stets aufgrund einer umfassen­den Würdigung sämtlicher einschlä­giger Faktoren (Urteile des Bundes­gerichts 2C_554/2010 vom 21. September 2011 E. 2.2, 2C_426/2008 und 2C_432/2008 vom 18. Februar 2009 E. 2.2, 2C_430/2008 vom 18. Februar 2009 E. 2.2, 2C_518/2007 und 2C_519/2007 vom 11. März 2008, veröffentlicht in: Archiv für Schweizerisches Abgaberecht [ASA] 77 S. 569 E. 2.2; Urteile des Bundesverwaltungs­gerichts A-3695/2012 vom 30. Juli 2013 E. 3.2, A-1989/2011 vom 4. Januar 2012 E. 2.2.1, A-4011/2010 vom 18. Januar 2011 E. 2.2.1 und A 5460/2008 vom 12. Mai 2010 E. 2.2).</w:t>
      </w:r>
    </w:p>
    <w:p>
      <w:r>
        <w:rPr>
          <w:b/>
        </w:rPr>
        <w:t>E. 2.2.2</w:t>
      </w:r>
    </w:p>
    <w:p>
      <w:r>
        <w:t>Weitere - aber nicht allein ausschlaggebende - Indizien für die mehrwertsteuerliche Behand­lung bilden gemäss der genannten Rechtsprechung ferner die Art der Abrechnung der Sozial­ver­sicherungs­beiträge sowie die Qualifikation einer Person als selbständig oder unselb­ständig im Zusammenhang mit den direk­ten Steuern (Urteile des Bundesgerichts 2A.47/2006 vom 6. Juli 2006 E. 3.2, 2A.304/2003 vom 14. November 2003, veröffentlicht in: ASA 76 S. 627 E. 3.3.2; Urteile des Bundesverwaltungsgerichts A-156/2007 vom 20. April 2009 E. 2.2.2 und A-3822/2007 vom 3. Juni 2008 E. 2.1.4). Aufgrund der verschiedenen Zielsetzungen der einzelnen Rechtsgebiete können sich jedoch zwischen der Beurteilung nach mehrwert­steuerlichen Über­legungen und jener betreffend direkte Steuern bzw. Sozialversicherungsrecht Abweichungen ergeben. Es ist somit durch­aus möglich, dass ein und dieselbe Person in den verschiedenen Be­reichen unterschiedlich eingestuft wird (Urteil des Bundesgerichts vom 15. Oktober 1993, veröffentlicht in ASA 64 S. 732 E. 3d Urteile des Bundesverwaltungsgerichts A-3695/2012 vom 30. Juli 2013 E. 3.2.2 und E. 7.2.2, A-2950/2011 vom 8. Februar 2012 E. 2.2.2, A-1989/2011 vom 4. Januar 2012 E. 2.2.2, A 4011/2010 vom 18. Januar 2011 E. 2.2.2, A-5460/2008 vom 21. Mai 2010 E. 3.5.1, A-156/2007 vom 20. April 2009 E. 2.2.2 und A-1572/2006 vom 21. August 2008 E. 3.4.1).</w:t>
      </w:r>
    </w:p>
    <w:p>
      <w:r>
        <w:rPr>
          <w:b/>
        </w:rPr>
        <w:t>E. 2.2.3</w:t>
      </w:r>
    </w:p>
    <w:p>
      <w:r>
        <w:t>Angesichts des Wesens der Mehrwertsteuer als allge­meine Ver­brauch­steuer ist der Begriff der Selb­ständig­keit eher weit auszulegen (Urteile des Bundesverwaltungs­gerichts A 5460/2008 vom 12. Mai 2010 E. 2.2, A 156/2007 vom 20. April 2009 E. 2.2.4 und A 1572/2006 vom 21. August 2008 E. 2.2; vgl. Daniel Riedo, Vom Wesen der Mehrwert­steuer als allgemeine Verbrauchsteuer und von den entsprechenden Wirkungen auf das schweizerische Recht, Bern 1999, S. 115, 174 f.).</w:t>
      </w:r>
    </w:p>
    <w:p>
      <w:r>
        <w:rPr>
          <w:b/>
        </w:rPr>
        <w:t>E. 2.2.4</w:t>
      </w:r>
    </w:p>
    <w:p>
      <w:r>
        <w:t>Die Frage, ob ein Unternehmer im eigenen Namen nach aussen auftritt oder nicht, ist nicht nur für den Tatbestand der Selbständigkeit mass­geblich und nach dem neuen Recht ausdrücklich Erfordernis für die subjektive Steuerpflicht (vgl. Art. 10 Abs. 1 Bst. b MWSTG). Das Auftreten in eigenem Namen im Aussenverhältnis ist auch für die Zurechnung der einzelnen Umsätze bzw. die Bestimmung des mehrwertsteuerlichen Leistungserbringers entscheidend (vgl. Art. 20 Abs. 1 MWSTG sowie Schluckebier, in: MWSTG Kommentar, N. 17 ff. zu Art. 10 MWSTG). Das Handeln wird grundsätzlich demjenigen mehrwertsteuerlich zugerechnet, der nach aussen, gegenüber Dritten im eigenen Namen auftritt (vgl. zum früheren Recht: Urteile des Bundes­ver­waltungs­gerichts A 1989/2011 vom 4. Januar 2012 E. 2.2.4, A 5460/2008 vom 12. Mai 2010 E. 2.2, A-5876/2008 vom 24. März 2010 E. 2.2, A 1572/2006 vom 21. August 2008 E. 2.2, A 1382/2006 und A-1383/2006 vom 19. Juli 2007 E. 2.2, bestätigt mit Urteil des Bundesgerichts 2C_518/2007 und 2C_519/2007 vom 11. März 2008). In wessen Namen aufgetreten wird, ist ferner von zentraler Bedeutung beim mehrwertsteuerlichen Stellvertretungstatbestand gemäss Art. 20 Abs. 2 und 3 MWSTG. Denn wenn eine Person im Namen und für Rechnung einer anderen Person handelt (und somit nach aussen hin nicht als Leistungserbringerin auftritt), gilt die Leistung unter gesetzlich näher umschriebenen, hier nicht näher interessierenden Voraussetzungen als durch die vertretene Person getätigt (direkte Stellvertretung; Art. 20 Abs. 2 MWSTG. Keine Rolle spielt vorliegend, dass die Voraussetzungen für die direkte Stellvertretung gegenüber dem früheren Recht gelockert wurden [vgl. dazu Felix Geiger, in: MWSTG Kommentar, N. 1 ff. zu Art. 20 MWSTG]). Handelt bei einer Leistung der Vertreter zwar für fremde Rechnung, ohne dass er ausdrücklich im Namen des Vertretenen auftritt und ohne dass sich das Bestehen des Vertretungsverhältnisses aus den Umständen ergibt, liegen gleich zu qualifizierende Leistungsverhältnisse zwischen dem Vertretenen und dem (indirekten) Vertreter zum einen und dem (indirekten) Vertreter sowie dem Dritten zum anderen vor (vgl. Art. 20 Abs. 3 MWSTG).</w:t>
      </w:r>
    </w:p>
    <w:p>
      <w:r>
        <w:rPr>
          <w:b/>
        </w:rPr>
        <w:t>E. 2.3</w:t>
      </w:r>
    </w:p>
    <w:p>
      <w:r>
        <w:t>Die Mehrwertsteuer wird vom tatsächlich empfangenen Entgelt berechnet (Art. 24 Abs. 1 Satz 1 MWSTG).</w:t>
      </w:r>
    </w:p>
    <w:p>
      <w:r>
        <w:rPr>
          <w:b/>
        </w:rPr>
        <w:t>E. 2.4</w:t>
      </w:r>
    </w:p>
    <w:p>
      <w:r>
        <w:t>Die mehrwertsteuerliche Qualifikation von Vorgängen hat nicht in erster Linie aus einer zivil-, sprich vertragsrechtlichen Sicht, sondern nach wirtschaftlichen, tatsächlichen Kriterien zu erfolgen (vgl. zum früheren Recht: Urteil des Bundesgerichts 2A.304/2003 vom 14. November 2003 E. 3.6.1 mit Hin­weisen; BVGE 2007/23 E. 2.3.2; Urteile des Bundesverwaltungs­ge­richts A 5460/2008 vom 12. Mai 2010 E. 2.4, A 156/2007 vom 20. April 2009 E. 2.2.3 und A-1595/2006 vom 2. April 2009 E. 2.8, bestätigt mit Urteil des Bundesgerichts 2C_309/2009 und 2C_310/2009 vom 1. Feb­ruar 2010; ausführlich: Riedo, a.a.O., S. 112). Der wirtschaft­lichen Betrachtungs­weise kommt im Bereich der Mehrwertsteuer nicht nur bei der rechtlichen Qualifikation von Sach­verhalten, sondern auch bei der Auslegung von zivilrechtlichen und von steuerrechtlichen Be­grif­fen Bedeutung zu (vgl. zum früheren Recht: Urteil des Bundes­gerichts 2A.43/2002 vom 8. Ja­nu­ar 2003, veröffentlicht in: ASA 73 S. 565 ff. E. 3.2; BVGE 2007/23 E. 2.3.2; Urteile des Bundesver­wal­tungs­gerichts A 5460/2008 vom 12. Mai 2010 E. 2.4 und A 156/2007 vom 20. April 2009 E. 2.2.3). Nicht entscheidend ist deshalb grundsätzlich, wie die Parteien ihr Ver­trags­verhältnis ausge­stalten (vgl. zum früheren Recht: Urteil des Bundesgerichts 2A.47/2006 vom 6. Juli 2006 E. 3.2; zum Ganzen: Urteil des Bundesverwaltungs­gerichts A-4011/2010 vom 18. Januar 2011 E. 2.4).</w:t>
      </w:r>
    </w:p>
    <w:p>
      <w:r>
        <w:rPr>
          <w:b/>
        </w:rPr>
        <w:t>E. 2.5</w:t>
      </w:r>
    </w:p>
    <w:p>
      <w:r>
        <w:t>Gemäss Art. 19 Abs. 1 MWSTG werden voneinander unabhängige Leistungen selbständig behandelt. Leistungen, welche wirtschaftlich eng zusammengehören und so ineinander greifen, dass sie als unteilbares Ganzes zu betrachten sind, gelten mehrwertsteuerlich als einheitlicher wirtschaftlicher Vorgang und sind demzufolge nach dem Charakter der Gesamtleistung zu behandeln (Art. 19 Abs. 3 MWSTG). Liegt eine Gesamtleistung vor, erfolgt die mehrwertsteuerliche Behandlung nach der für diese wesentlichen Eigenschaft, das heisst nach der Leistung, welche wirtschaftlich betrachtet im Vordergrund steht (vgl. Geiger, in: MWSTG Kommentar, N. 23 zu Art. 19 MWSTG; zum früheren Recht: Urteil des Bundesgerichts 2C_807/2008 vom 19. Juni 2009 E. 2.2, mit weiteren Hinweisen; Urteil des Bundesverwaltungsgerichts A-4206/2012 vom 13. März 2013 E. 2.5, mit Hinweis).</w:t>
      </w:r>
    </w:p>
    <w:p>
      <w:r>
        <w:rPr>
          <w:b/>
        </w:rPr>
        <w:t>E. 2.6</w:t>
      </w:r>
    </w:p>
    <w:p>
      <w:r>
        <w:t>Die Mehrwertsteuersystematik ist grundsätzlich auf die Überwälzbarkeit der Steuer ausgerichtet (vgl. Art. 1 Abs. 3 Bst. c MWSTG). Dies hat jedoch nicht zur Folge, dass sich der Steuerpflichtige im Steuerjustizverfahren mit Erfolg mit dem Einwand gegen eine Steuernachforderung wehren kann, er könne die nacherhobene Steuer nicht mehr auf den Leistungsbezüger überwälzen. Denn aus dem Überwälzbarkeitsprinzip entsteht gegenüber dem Staat kein Anspruch des Steuerpflichtigen auf Überwälzung der Mehrwertsteuer, genauso wenig wie er kraft öffentlichen Rechts verpflichtet werden könnte, die Steuer zu überwälzen. Die Bezahlung rechtmässig erhobener Steuernachforderungen lässt sich somit nicht unter Hinweis auf die Unmöglichkeit der Überwälzung verweigern (vgl. Geiger, in: MWSTG Kommentar, N. 28 zu Art. 1 MWSTG, mit Hinweisen; zum früheren Recht: Urteil des Bundesgerichts 2C_518/2007 und 2C_519/2007 vom 11. März 2008 E. 3.4, mit Hinweis auf Riedo, a.a.O., S. 21; Xavier Oberson, in: Kompetenzzentrum MWST der Treuhand-Kammer [Hrsg.], mwst.com, Kommentar zum Bundesgesetz über die Mehrwertsteuer, Basel 2000, Art. 1 N. 28; s. zum Ganzen ferner auch Urteil des Bundesgerichts 2C_426/2008 und 2C_432/2008 vom 18. Februar 2009 E. 4.5; Urteil des Bundesverwaltungsgerichts A-3198/2009 vom 2. September 2010 E. 2.4.2, mit Hinweisen). Ob und inwieweit die entsprechenden Mehrwertsteuern auf Dritte überwälzt werden können, richtet sich nach privatrechtlichen Vereinbarungen und ist gegebenenfalls vom Zivilrichter zu entscheiden (vgl. Art. 6 MWSTG).</w:t>
      </w:r>
    </w:p>
    <w:p>
      <w:r>
        <w:rPr>
          <w:b/>
        </w:rPr>
        <w:t>E. 2.7.1</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Daran ändert sich gegenüber dem früheren Recht nichts (vgl. Urteile des Bundesgerichts 2C_356/2008 vom 21. November 2008 E. 3.2 und 2A.109/2005 vom 10. März 2006 E. 2.1; Urteil des Bundesverwaltungsgerichts A-849/2012 vom 27. September 2012 E. 2.3.1, mit Hinweisen).</w:t>
      </w:r>
    </w:p>
    <w:p>
      <w:r>
        <w:rPr>
          <w:b/>
        </w:rPr>
        <w:t>E. 2.7.2</w:t>
      </w:r>
    </w:p>
    <w:p>
      <w:r>
        <w:t>Zu den Pflichten der mehrwertsteuerpflichtigen Person gehört insbesondere auch die Buchführung. Der Mehrwertsteuerpflichtige hat seine Geschäftsbücher und Aufzeichnungen nach den handelsrechtlichen Grundsätzen zu führen. Die ESTV kann ausnahmsweise darüber hinaus-gehende Aufzeichnungspflichten erlassen, wenn dies für die ordnungs-gemässe Erhebung der Mehrwertsteuer unerlässlich ist (Art. 70 Abs. 1 MWSTG). Die Buchführung ist das lückenlose und planmässige Auf-zeichnen sämtlicher Geschäftsvorfälle einer Unternehmung auf der Grundlage von Belegen. Sie schlägt sich in den Geschäftsbüchern und den zugehörigen Aufzeichnungen nieder (vgl. Urteil des Bundesverwaltungsgerichts A-849/2012 vom 27. September 2012 E. 2.3.2; Beatrice BLUM, in: MWSTG Kommentar, N. 3 ff. zu Art. 70 MWSTG). 2.82.8.1 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MWSTG). 2.8.2 Art. 79 MWSTG unterscheidet nach dem Ausgeführten zwei voneinander unabhängige Konstellationen, welche zu einer Ermessensveranlagung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(zum früheren Recht statt vieler: BGE 105 Ib 181 E. 4a; Urteile des Bundesgerichts 2C_429/2009 vom 9. November 2009 E. 3 und 2A.437/2005 vom 3. Mai 2006 E. 3.1). Zweitens kann selbst eine formell einwandfreie Buchführung die Durchführung einer Schätzung erfordern, wenn die ausgewiesenen Ergebnisse mit dem wirklichen Sachverhalt offensichtlich nicht übereinstimmen (Konstellation 2). Dies ist nach der Rechtsprechung zum früheren Recht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(statt vieler: Urteil des Bundesverwaltungsgerichts A-4922/2012 vom 14. Juni 2013 E. 2.5.2 mit Hinweisen). Diese Rechtsprechung beansprucht auch unter dem MWSTG Geltung. 2.92.9.1 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Bundesverwaltungsgerichts A-849/2012 vom 27. September 2012 E. 2.3.5; zum früheren Recht: Urteil des Bundesgerichts 2A.552/2006 vom 1. Februar 2007 E. 3.2; Urteil des Bundesverwaltungsgerichts A-4922/2012 vom 14. Juni 2013 E. 2.6.1). 2.9.2 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(Urteil des Bundesverwaltungsgerichts A-849/2012 vom 27. September 2012 E. 2.3.3; Blum, in: MWSTG Kommentar, N. 15 zu Art. 79 MWSTG; zum früheren Recht statt vieler: Urteil des Bundesgerichts 2C_970/2012 vom 1. April 2013 E. 4.1).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(zum früheren Recht statt vieler: Urteil des Bundesverwaltungsgerichts A-4922/2012 vom 14. Juni 2013 E. 2.6.2 mit weiteren Hinweisen; Pascal Mollard, TVA et taxation par estimation, veröffentlicht in: ASA 69 S. 530 ff.). 2.9.3 Im Rahmen einer Ermessenstaxation ist es nach der Rechtsprechung des Bundesgerichts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(zum früheren Recht: Urteile des Bundesgerichts 2C_309/2009 vom 1. Februar 2010 E. 2.2 und 2A.437/2005 vom 3. Mai 2006 E. 4.3.2; Urteile des Bundesverwaltungsgerichts A-852/2012 vom 27. September 2012 E. 2.3.4 und A-689/2012 vom 31. Mai 2012 E. 2.6.3).</w:t>
      </w:r>
    </w:p>
    <w:p>
      <w:r>
        <w:rPr>
          <w:b/>
        </w:rPr>
        <w:t>E. 2.10</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(zum früheren Recht statt vieler: BVGE 2009/60 E. 2.8).</w:t>
      </w:r>
    </w:p>
    <w:p>
      <w:r>
        <w:rPr>
          <w:b/>
        </w:rPr>
        <w:t>E. 2.10.1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w:t>
      </w:r>
    </w:p>
    <w:p>
      <w:r>
        <w:rPr>
          <w:b/>
        </w:rPr>
        <w:t>E. 2.10.2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breit abgestützt sein und sollten nebst der Betriebsstruktur und den regionalen Gegebenheiten auch die Betriebsgrösse berücksichtigen (vgl. Mollard, a.a.O., S.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(zum früheren Recht: BVGE 2009/60 E. 2.8.1; statt vieler: Urteil des Bundesverwaltungsgerichts A 1933/2012 vom 20. November 2012 E. 2.7.2 mit weiteren Hinweisen).</w:t>
      </w:r>
    </w:p>
    <w:p>
      <w:r>
        <w:rPr>
          <w:b/>
        </w:rPr>
        <w:t>E. 2.10.3</w:t>
      </w:r>
    </w:p>
    <w:p>
      <w:r>
        <w:t>Die Steuerbehörde hat die Pflicht, der steuerpflichtigen Person die Grundlagen der Erfahrungszahlen kundzugeben (vgl. Zweifel/Hunziker, a.a.O., S. 682 f., mit zahlreichen Hinweisen). Dies folgt aus der Begründungspflicht. Die Behörde hat der steuerpflichtigen Person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(zum früheren Recht: Urteil des Bundesgerichts 2A.284/2000 vom 5. Dezember 2000 E. 3 mit Hinweisen).</w:t>
      </w:r>
    </w:p>
    <w:p>
      <w:r>
        <w:rPr>
          <w:b/>
        </w:rPr>
        <w:t>E. 2.10.4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 des Bundesgerichts vom 4. Mai 1983, veröffentlicht in: ASA 52 S. 234 E. 4). Inwiefern die Verwaltung ihr Ermessen ausgeübt hat, ist in der Entscheidbegründung darzulegen (zum früheren Recht: BVGE 2009/60 E. 2.8.4; Urteil des Bundesverwaltungsgerichts A-4922/2012 vom 14. Juni 2013 E. 2.7.4 mit weiteren Hinweisen). 2.112.11.1 Das Bundesverwaltungsgericht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2.11.2 Das Bundesverwaltungsgericht überprüft das Vorliegen der Voraussetzungen für die Vornahme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(zum früheren Recht statt vieler: Urteil des Bundesverwaltungsgerichts A-4922/2012 vom 14. Juni 2013 E. 2.9.2). Diese Praxis wurde vom Bundesgericht bestätigt (vgl. zum früheren Recht: Urteil des Bundesgerichts 2C_426/2007 vom 22. November 2007 E. 4.3; s. ferner auch Urteil des Bundesgerichts 2C_970/2012 vom 1. April 2013 E. 4.3). 2.11.3 Für das Vorliegen der Voraussetzungen zur Vornahme einer Ermessenseinschätzung ist nach der allgemeinen Beweislastregel die ESTV beweisbelastet (E. 1.5). Sind die Voraussetzungen erfüllt (erste Stufe) und erscheint die vorinstanzliche Schätzung nicht bereits im Rahmen der durch das Bundesverwaltungsgericht mit der gebotenen Zurückhaltung (E. 2.11.2) vorzunehmenden Prüfung als pflichtwidrig (zweite Stufe), obliegt es - in Umkehr der allgemeinen Beweislast - der steuerpflichtigen Person, den Nachweis für die Unrichtigkeit der Schätzung (dritte Stufe) zu erbringen (vgl. zum früheren Recht statt vieler: Urteil des Bundesgerichts 2C_970/2012 vom 1. April 2013 E. 4.2; Urteile des Bundesverwaltungsgerichts A 4750/2012 vom 22. Juli 2013 E. 2.4.3 und A 6001/2011 vom 21. Mai 2013 E. 2.4.2).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sie hat auch den Beweis für ihre vorgebrachten Behauptungen zu erbringen (zum früheren Recht statt vieler: Urteil des Bundesgerichts 2C_970/2012 vom 1. April 2013 E. 4.3).</w:t>
      </w:r>
    </w:p>
    <w:p>
      <w:r>
        <w:rPr>
          <w:b/>
        </w:rPr>
        <w:t>E. 3</w:t>
      </w:r>
    </w:p>
    <w:p>
      <w:r>
        <w:t>Im vorliegenden Fall betrieb die Beschwerdeführerin in der hier massgebenden Zeit den Sauna-Club "C._______" mit einem Restaurant und einer Bar. Nach den unbestritten gebliebenen Ausführungen der Vorinstanz bezahlten die männlichen Kunden einen Eintritt von Fr. 70.- und Paare ein Eintrittsgeld von Fr. 80.- für den zeitlich unbegrenzten Zutritt zur Infrastruktur (Schwimmbad, Dampfbad, Whirlpool und Sauna) und die Benutzung diverser Gegenstände (wie z.B. Bademäntel und Handtücher). Ferner stellte die Beschwerdeführerin den in ihrem Club tätigen Sexarbeiterinnen gegen ein Eintrittsgeld von Fr. 100.- die genannte Infrastruktur, Verbrauchsmaterial (wie z.B. Kondome und Gleitcrème) sowie getrennte Standardzimmer zur Verfügung. Für die Benutzung einer Luxussuite hatten die Kunden der Beschwerdeführerin zusätzlich Fr. 100.- zu bezahlen. Die diversen gastgewerblichen Leistungen wurden grundsätzlich sowohl den Sexarbeiterinnen als auch den Kunden in Rechnung gestellt; davon ausgenommen waren jeweils ein Abendmenu sowie bei den Sexarbeiterinnen alkoholfreie Getränke. Jedes Jahr veranstaltete die Beschwerdeführerin vier Parties, bei welchen die Herren einen Betrag von Fr. 300.- für die Teilnahme sowie die Inanspruchnahme erotischer Dienstleistungen von den anwesenden Sexarbeiterinnen bezahlten. Von diesem Betrag wurden jeweils Fr. 70.- als Eintrittsgeld verbucht und Fr. 230.- als Entgelt für die zu erbringenden erotischen Dienstleistungen unter den an der Party teilnehmenden Sexarbeiterinnen aufgeteilt, wobei die Fr. 230.- von der Beschwerdeführerin weder verbucht noch deklariert wurden. Die Sexarbeiterinnen hatten an den Partytagen kein Eintrittsgeld zu entrichten. Nach Darstellung der Beschwerdeführerin war an diesen Tagen für Herren, welche nicht an den Parties teilnehmen wollten, gegen ein Eintrittsgeld von Fr. 70.- der normale Saunabetrieb zugänglich (vgl. Beschwerde, S. 6).</w:t>
      </w:r>
    </w:p>
    <w:p>
      <w:r>
        <w:rPr>
          <w:b/>
        </w:rPr>
        <w:t>E. 3.1.1</w:t>
      </w:r>
    </w:p>
    <w:p>
      <w:r>
        <w:t>Für die Beurteilung der Selbständigkeit und die Bestimmung des mehrwertsteuerrechtlichen Leistungserbringers ist das Handeln im eigenen Namen und der Auftritt gegen aussen entscheidend (E. 2.2.1 und E. 2.2.4). Dabei ist die Frage massgebend, wie das Erotikangebot für die Allgemeinheit, für einen neutralen Dritten objektiv erkennbar in Erscheinung tritt (vgl. zum früheren Recht: Urteile des Bundesverwaltungsgerichts A-2950/2011 vom 8. Februar 2012 E. 3.1.1 und A-1989/2011 vom 4. Januar 2012 E. 4.1.1).</w:t>
      </w:r>
    </w:p>
    <w:p>
      <w:r>
        <w:rPr>
          <w:b/>
        </w:rPr>
        <w:t>E. 3.1.2</w:t>
      </w:r>
    </w:p>
    <w:p>
      <w:r>
        <w:t>Wie das in Frage stehende Erotikangebot für einen Aussenstehenden objektiv erkennbar in Erscheinung tritt, kann vorliegend in erster Linie gestützt auf die Homepage der Beschwerdeführerin beurteilt werden, auf welcher die Erotikdienstleistungen angeboten worden sind ([...]). Aktenkundig sind Ausdrucke des Internetauftritts vom 25. Mai 2011 und vom 30. Mai 2012 (Akten Vorinstanz, act. 11). Auf dem Ausdruck der Homepage vom 25. Mai 2011 wird für eine "MEGA PARTY IM C._______ MIT TOP GIRLS" am 1. Juli 2011 geworben. Nebst dem Eintrittspreis von Fr. 300.- und einer Zeitangabe findet sich darin insbesondere der Vermerk "inkl. Sex". Der jüngere Ausdruck vom 30. Mai 2012 enthält nebst einer Preisangabe für eine Party mit dem Hinweis "Eintritt inkl. 3x Sex" als Erläuterung zu zwei Fotos einer Frau den Vermerk "D._______ 23 Jahre". Zu einer weiteren, darin enthaltenen Preisangabe für einen "Top Hit" mit "1/2 Std. Sex" findet sich zudem der Hinweis, dass ab 12:00 Uhr "selbstverständlich" auch der normale Eintritt von Fr. 90.- bezahlt werden könne, und zwar für einen zeitlich unbeschränkten Aufenthalt. Auf allen Ausdrucken der Homepage sind die Adresse und die Telefonnummer des Clubs aufgeführt. Nach den genannten Internetauftritten hat der Sauna-Club "C._______" die Erotikdienstleistungen im eigenen Namen angepriesen. Für die Allgemeinheit, das heisst für einen neutralen Dritten, trat damit der Club "C._______" als Leistungserbringer der Erotikdienstleistungen auf. Dies gilt umso mehr, als auf den Ausdrucken der Homepage nur die Adresse und die Telefonnummer des Sauna-Clubs angegeben sind. Zwar enthält die Homepage nach den genannten Ausdrucken auch eine Unterrubrik "Girls", deren Inhalt nicht aktenkundig ist. Selbst wenn diese Unterrubrik Angaben enthalten sollte, welche dem Kunden eine direkte Kontaktaufnahme mit den Sexarbeiterinnen ohne Vermittlung durch die Beschwerdeführerin ermöglichen, tritt jedoch nach aussen in erster Linie - namentlich aufgrund der Preisangabe für eine Party mit dem Vermerk "inkl. Sex" - der Club als Anbieter der Sexdienstleistungen in Erscheinung. Nichts daran ändern kann der Umstand, dass auf einem der Ausdrucke der Homepage Fotos einer Sexarbeiterin abgebildet sind und ihr Vorname bzw. Pseudonym festgehalten ist (vgl. zum früheren Recht: Urteil des Bundesgerichts 2C_239/2008 vom 26. August 2008 E. 2.4 f.). Der Internetauftritt spricht damit gegen die mehrwertsteuerrechtliche Selbständigkeit der einzelnen Sexarbeiterinnen. Im Weiteren liegen keine Anhaltspunkte vor und wird auch nicht seitens der Beschwerdeführerin geltend gemacht, dass sich der relevante Inhalt der Homepage in der Zeit vom 1. Januar 2010 bis zum 25. Mai 2011 bzw. 30. Mai 2012 wesentlich verändert hat. Die Unterschiede zwischen den Ausdrucken vom 25. Mai 2011 und 30. Mai 2012 erscheinen im Übrigen mit Bezug auf die Frage, ob die Beschwerdeführerin gegenüber Dritten im eigenen Namen handelte und auftrat, nicht als entscheidend.</w:t>
      </w:r>
    </w:p>
    <w:p>
      <w:r>
        <w:rPr>
          <w:b/>
        </w:rPr>
        <w:t>E. 3.1.3</w:t>
      </w:r>
    </w:p>
    <w:p>
      <w:r>
        <w:t>Ferner kann nicht gesagt werden, die Sexarbeiterinnen handelten in völliger betriebswirtschaftlicher bzw. arbeitsorganisatorischer Unabhängigkeit: Die Beschwerdeführerin bietet an vier Tagen im Jahr neben dem Sauna- bzw. Poolbetrieb Parties an, wobei sie auch die jeweiligen Tarife festlegt. In den Pauschalbeträgen sind sämtliche sexuellen Dienstleistungen während der Party inbegriffen. Der nach Abzug der Eintrittsgelder von je Fr. 70.- verbleibende Umsatz wird anschliessend auf die anwesenden Damen verteilt. Diese können demnach die genauen Preise für die jeweils konkret erbrachten Leistungen nicht massgeblich mitbestimmen. Es ist durchaus möglich, dass die Preise gegenüber denjenigen im Einzelservice stark verbilligt sind. Jedenfalls beeinträchtigt die Preisvorgabe der Beschwerdeführerin die betriebswirtschaftliche Unabhängigkeit der Frauen (vgl. zum früheren Recht: Urteil des Bundesverwaltungsgerichts A-1562/2006 vom 26. September 2008 E. 3.2.3, mit Hinweisen; vgl. dazu ferner Urteil des Bundesgerichts 2C_426/2008 und 2C_432/2008 vom 18. Februar 2009 E. 4.2 ff.). Nicht nur das spricht gegen eine mehrwertsteuerliche Selbständigkeit der Damen, sondern auch der Umstand, dass sie in einer weitgehenden arbeitsorganisatorischen Abhängigkeit zur Beschwerdeführerin stehen. Denn es sind jeweils mehrere Frauen, welche die Infrastruktur und die weiteren Betriebsmittel gleichzeitig oder nacheinander für ihre Sexangebote nutzen. Zudem legt die Beschwerdeführerin die Öffnungszeiten des Sauna-Clubs bzw. die Dauer der Parties fest. Umfang und Zeitpunkt der Leistungserbringung der einzelnen Damen sind folglich direkt von der Belegungsdichte der beschwerdeführerischen Betriebsmittel abhängig. Leistungsumfang und -zeit können die Sexarbeiterinnen dementsprechend nur bedingt frei wählen. Sie bestimmen sich vielmehr nach Massgabe der betrieblichen Möglichkeiten und weitgehend auch der Bedürfnisse bzw. des Willens der Beschwerdeführerin (vgl. zum früheren Recht: Urteil des Bundesgerichts vom 11. März 2008, veröffentlicht in: ASA 77 S. 570 f. E. 3.2; Urteile des Bundesverwaltungsgerichts A-2950/2011 vom 8. Februar 2012 E. 3.2.2 und A-5460/2008 vom 12. Mai 2010 E. 3.3). Es steht im ureigensten Interesse der Beschwerdeführerin, dass die Zimmer bestmöglich ausgelastet sind und dass Friktionen weitestgehend vermieden werden, weshalb sich die Damen zwangsläufig einer entsprechenden betrieblichen Ordnung der Beschwerdeführerin unterziehen müssen (vgl. zum früheren Recht: Urteil des Bundesverwaltungsgerichts A-2950/2011 vom 8. Februar 2012 E. 3.2.2, mit Hinweis). So werden die Anwesenheiten der Sexarbeiterinnen wohl derartig zusammengestellt, dass sie die Bedürfnisse der Kunden bestmöglich abdecken und so eine möglichst hohe Auslastung des Etablissements der Beschwerdeführerin erreicht werden kann (vgl. zum früheren Recht: Urteil des Bundesverwaltungsgerichts A-1562/2006 vom 26. September 2008 E. 3.2.3, bestätigt durch das Urteil des Bundesgerichts 2C_806/2008 vom 1. Juli 2009).</w:t>
      </w:r>
    </w:p>
    <w:p>
      <w:r>
        <w:rPr>
          <w:b/>
        </w:rPr>
        <w:t>E. 3.2</w:t>
      </w:r>
    </w:p>
    <w:p>
      <w:r>
        <w:t>Die Beschwerdeführerin macht geltend, die Sexarbeiterinnen würden auch bei den direkten Steuern und den Sozialversicherungen bzw. "in sämtlichen Rechtsgebieten" als selbständig erwerbstätig qualifiziert (vgl. Beschwerde, S. 8 ff.). Die Art der Abrechnung der Sozialversicherungsbeiträge und die Qualifikation einer Person als selbständig oder unselbständig im Zusammenhang mit den direkten Steuern bilden zwar - wie ausgeführt - nicht unbedeutende, aber dennoch nicht allein ausschlaggebende Indizien für die mehrwertsteuerliche Behandlung (E. 2.2.2). Es können sich somit Abweichungen zwischen der Beurteilung nach mehrwertsteuerlichen Überlegungen und jener betreffend Sozialversicherungsrecht bzw. direkten Steuern ergeben. Insbesondere aufgrund der verschiedenen Zielsetzungen dieser Rechtsgebiete ist es durchaus möglich, dass ein und dieselbe Person in den verschiedenen Bereichen unterschiedlich eingestuft wird (s. zum Ganzen E. 2.2.2). Nichts Gegenteiliges ergibt sich im Übrigen aus der von der Beschwerdeführerin in diesem Zusammenhang erwähnten Literatur (vgl. Beschwerde, S. 9). An der entsprechenden Stelle wird zwar ausgeführt, der Begriff der Selbständigkeit oder Unselbständigkeit von natürlichen Personen im Umsatzsteuerrecht entspreche "im Wesentlichen demjenigen des Einkommenssteuerrechts" (Heinz Keller, Abgrenzung der selbständigen von der unselbständigen Erwerbstätigkeit sowie Begriff der Nachhaltigkeit als zwei Kriterien für die Abklärung der subjektiven Steuerpflicht, veröffentlicht in: ASA 74, S. 439 ff., S. 441; vgl. dazu Beschwerde, S. 9). Daraus ergibt sich jedoch nicht, dass sich die Begriffe der Selbständigkeit bei der Mehrwertsteuer und den direkten Steuern vollständig decken. Entgegen der Auffassung der Beschwerdeführerin ist auch nicht erkennbar, dass der Begriff der mehrwertsteuerlichen Selbständigkeit mit dem entsprechenden Begriff in weiteren Rechtsgebieten (wie etwa dem Aufenthaltsrecht) identisch ist. Am Ausgang des vorliegenden Verfahrens vermag jedenfalls eine allfällige sozialversicherungsrechtliche, direktsteuerliche, aufenthaltsrechtliche oder eine in weiteren, nicht mehrwertsteuerrechtlichen Rechtsgebieten anzunehmende Selbständigkeit der Damen nichts zu ändern. Denn vorliegend deutet zu viel auf die mehrwertsteuerliche Zurechnung der fraglichen Dienstleistungen an die Beschwerdeführerin hin (vgl. vorn E. 3.1; s. auch - zum früheren Recht - Urteile des Bundesverwaltungsgerichts A-3695/2012 vom 30. Juli 2013 E. 3.2 und A-6241/2011 vom 12. Juni 2012 E. 3.4).</w:t>
      </w:r>
    </w:p>
    <w:p>
      <w:r>
        <w:rPr>
          <w:b/>
        </w:rPr>
        <w:t>E. 3.3</w:t>
      </w:r>
    </w:p>
    <w:p>
      <w:r>
        <w:t>Zusammenfassend ist festzuhalten, dass die durch die Sexarbeiterinnen erbrachten Dienstleistungen aufgrund des nach aussen sichtbaren Erscheinungsbildes einen in die Gesamtorganisation des Betriebs integrierten Zweig des Sauna-Clubs der Beschwerdeführerin bildeten. Sie bzw. der Club und die Sexarbeiterinnen erschienen als unternehmerische Einheit, wobei massgebend ist, dass die Beschwerdeführerin mit dem Club nach aussen im eigenen Namen auftrat. Die Umsätze der Sexarbeiterinnen sind ihr mehrwertsteuerrechtlich zuzurechnen (vgl. zum früheren Recht: Urteil des Bundesgerichts 2C_806/2008 vom 1. Juli 2009 E. 2.2.3).</w:t>
      </w:r>
    </w:p>
    <w:p>
      <w:r>
        <w:rPr>
          <w:b/>
        </w:rPr>
        <w:t>E. 4</w:t>
      </w:r>
    </w:p>
    <w:p>
      <w:r>
        <w:t>Es bleibt auf die übrigen Argumente der Beschwerdeführerin einzugehen, soweit diese nicht bereits durch die voranstehenden Erwägungen ausdrücklich oder implizit widerlegt sind.</w:t>
      </w:r>
    </w:p>
    <w:p>
      <w:r>
        <w:rPr>
          <w:b/>
        </w:rPr>
        <w:t>E. 4.1</w:t>
      </w:r>
    </w:p>
    <w:p>
      <w:r>
        <w:t>Die Beschwerdeführerin bringt vor, es bestehe kein ursächlicher, innerer Zusammenhang zwischen der von ihr erbrachten Leistung und dem von den Sexarbeiterinnen vereinnahmten Entgelt bzw. dem von den Freiern bezahlten Dirnenlohn (Beschwerde, S. 10 f.; Stellungnahme der Beschwerdeführerin vom 7. März 2013, S. 6). Wie ausgeführt ist entscheidend, wie das Sexangebot für einen neutralen Dritten objektiv erkennbar in Erscheinung tritt (E. 2.2.1 und E. 2.2.4). Unter diesem Blickwinkel erscheint - wie gezeigt (E. 3.1) - jeweils die Beschwerdeführerin als Anbieterin der sexuellen Dienstleistungen am Markt. Selbstverständlich vereinbart der Kunde letztlich mit der einzelnen Dame die Einzelheiten der zu erbringenden Leistung. Auch ist davon auszugehen, dass das jeweilige Entgelt im Fall der Barzahlung direkt durch die Prostituierten gefordert und bezogen wurde, es sei denn, der Kunde nahm an einer der Parties teil und hatte den dafür zu entrichtenden (Gesamt-)Preis beim Eintritt bezahlt. Diese Umstände ändern jedoch das nach aussen vermittelte Gesamtbild, wonach die Beschwerdeführerin unter Zuhilfenahme der im Club anwesenden Damen als Leistungserbringerin auftrat, nicht wesentlich. Denn die Sexarbeiterinnen unterlagen im Betrieb der Beschwerdeführerin der beschriebenen betriebswirtschaftlichen und arbeitsorganisatorischen Abhängigkeit (vgl. E. 3.1.3). Vor diesem Hintergrund sind die Ausführungen der Beschwerdeführerin, wonach sie nicht Beteiligte des die Mehrwertsteuer auslösenden Leistungsaustauschverhältnisses sei (vgl. Stellungnahme der Beschwerdeführerin vom 7. März 2013, S. 6), nicht stichhaltig (vgl. zum früheren Recht: Urteil des Bundesverwaltungsgerichts A-1562/2006 vom 26. September 2008 E. 3.2.5.3). Auch kann sie unter den gegebenen Umständen nicht mit Erfolg geltend machen, sie würde gesetzwidrig für eine nicht von ihr erbrachte Leistung besteuert (vgl. zum früheren Recht: Urteil des Bundesgerichts 2C_426/2008 und 2C_432/2008 vom 18. Februar 2009 E. 4.5).</w:t>
      </w:r>
    </w:p>
    <w:p>
      <w:r>
        <w:rPr>
          <w:b/>
        </w:rPr>
        <w:t>E. 4.2</w:t>
      </w:r>
    </w:p>
    <w:p>
      <w:r>
        <w:t>Die Beschwerdeführerin erklärt, die Sexdienstleistungen der Prostituierten in ihrem Sauna-Club liessen sich nicht zusammen mit den Leistungen der Beschwerdeführerin als Gesamtleistung qualifizieren. Vorliegend fehle es nämlich insbesondere an einem Gesamtentgelt. Zudem würden nicht alle Saunabesucher und -besucherinnen Erotikdienstleistungen beanspruchen oder anbieten (Stellungnahme der Beschwerdeführerin vom 7. März 2013, S. 3 ff.). Vorliegend erfolgt die Zurechnung der Umsätze aus Erotikdienstleistungen zur Beschwerdeführerin nicht aufgrund einer Qualifikation ihrer erotischen und nicht erotischen Leistungen als Gesamtleistung im Sinne von Art. 19 Abs. 3 MWSTG (E. 2.5), sondern im Rahmen einer selbständigen Behandlung der Erotikdienstleistungen als gemäss Art. 19 Abs. 1 MWSTG von den übrigen Leistungen unabhängige Leistungen. Das erwähnte Vorbringen der Beschwerdeführerin vermag dieser Zurechnung somit nicht den Boden zu entziehen.</w:t>
      </w:r>
    </w:p>
    <w:p>
      <w:r>
        <w:rPr>
          <w:b/>
        </w:rPr>
        <w:t>E. 4.3</w:t>
      </w:r>
    </w:p>
    <w:p>
      <w:r>
        <w:t>Die Beschwerdeführerin macht sodann geltend, es sei nicht gewährleistet, dass sie die nacherhobenen Steuern auf die Verbraucher überwälzen könne. Die Vorinstanz habe deshalb mit dem angefochtenen "Einspracheentscheid" Art. 1 Abs. 2 aMWSTG bzw. Art. 1 Abs. 3 Bst. c MWSTG verletzt. Es komme hinzu, dass die steuerpflichtige Person nach Art. 65 Abs. 5 MWSTG durch die Steuererhebung nur insoweit belastet werden dürfe, als dies für die Durchführung des Gesetzes zwingend erforderlich sei (vgl. Beschwerde, S. 17). Wie ausgeführt erschienen der Club und die Sexarbeiterinnen als unternehmerische Einheit und sind deshalb die Umsätze der Prostituierten mehrwertsteuerrechtlich der Beschwerdeführerin zuzurechnen (vorn E. 3). Nach dem hiervor in E. 2.6 Erwogenen kann sich die Beschwerdeführerin unter diesen Umständen nicht mit Erfolg darauf berufen, ihr sei die nachträgliche Überwälzung auf die Verbraucher unmöglich geworden (vgl. zum früheren Recht: Urteil des Bundesgerichts 2C_806/2008 vom 1. Juli 2009 E. 2.2.3). Nach Art. 65 Abs. 5 MWSTG darf die steuerpflichtige Person durch die Steuererhebung nur soweit belastet werden, als dies für die Durchsetzung dieses Gesetzes zwingend erforderlich ist. Gemäss diesem Gebot der schonenden Behandlung der steuerpflichtigen Person sollen die finanziellen und administrativen Belastungen der steuerpflichtigen Person minimiert werden. Art. 65 Abs. 5 MWSTG soll der Verwaltung eine Richtschnur für den Vollzug im Einzelfall und für allgemeine Praxisfestlegungen geben (vgl. zum Ganzen Botschaft zur Vereinfachung der Mehrwertsteuer vom 25. Juni 2008, BBl 2008 6885, 6994). Die von der Vorinstanz vorgenommene mehrwertsteuerliche Zurechnung der Umsätze aus erotischen Dienstleistungen zur Beschwerdeführerin verstösst nicht gegen Art. 65 Abs. 5 MWSTG. Denn ein entsprechender Verstoss ist nicht allein aufgrund des Umstandes zu bejahen, dass die Mehrwertsteuer (allenfalls) nicht auf den Verbraucher überwälzt werden kann.</w:t>
      </w:r>
    </w:p>
    <w:p>
      <w:r>
        <w:rPr>
          <w:b/>
        </w:rPr>
        <w:t>E. 4.4</w:t>
      </w:r>
    </w:p>
    <w:p>
      <w:r>
        <w:t>Die Beschwerdeführerin macht geltend, es liege weder ein direktes, noch ein indirektes Stellvertretungsverhältnis vor. Insbesondere fehle es an Dokumenten, aus welchen klar hervorgehe, dass die Sexarbeiterinnen ihre Dienstleistungen ausdrücklich im Namen sowie für Rechnung der Beschwerdeführerin erbracht hätten. Auch würden keine schriftlichen Abrechnungen über den Erlös und über bezahlte Provisionen vorliegen. Die Annahme eines indirekten Stellvertretungsverhältnisses sei ausgeschlossen, weil die Sexarbeiterinnen das vereinnahmte Entgelt für sich behalten und es nicht der Beschwerdeführerin abgeliefert hätten (Beschwerde, S. 7 f.). Es ist diesbezüglich darauf hinzuweisen, dass sich vorliegend von vornherein nicht die Frage nach einer allfälligen mehrwertsteuerlichen Stellvertretung durch die Beschwerdeführerin, ob nun in direkter (als blosse Vermittlerin) oder indirekter Form (vgl. vorn E. 2.2.4 Abs. 2), stellen kann, weil es den Sexarbeiterinnen hinsichtlich der im Club der Beschwerdeführerin erbrachten sexuellen Dienstleistungen an der mehrwertsteuerlichen Selbständigkeit mangelt und die entsprechenden Umsätze der Beschwerdeführerin zuzurechnen sind (vgl. zum früheren Recht: Urteil des Bundesverwaltungsgerichts A-1562/2006 vom 26. September 2008 E. 2.3.6).</w:t>
      </w:r>
    </w:p>
    <w:p>
      <w:r>
        <w:rPr>
          <w:b/>
        </w:rPr>
        <w:t>E. 4.5.1</w:t>
      </w:r>
    </w:p>
    <w:p>
      <w:r>
        <w:t>Die Beschwerdeführerin macht geltend, die ESTV unterstelle ihr mit der Umsatzaufrechnung die Ausübung einer kriminellen Tätigkeit in Form der illegalen Förderung der Prostitution (vgl. Beschwerde, S. 11 f.).</w:t>
      </w:r>
    </w:p>
    <w:p>
      <w:r>
        <w:rPr>
          <w:b/>
        </w:rPr>
        <w:t>E. 4.5.2</w:t>
      </w:r>
    </w:p>
    <w:p>
      <w:r>
        <w:t>Laut Art. 195 Abs. 3 des Schweizerischen Strafgesetzbuchs vom 21. Dezember 1937 (StGB, SR 311.0) wird jemand, der die Handlungsfreiheit einer Person, die Prostitution betreibt, dadurch beeinträchtigt, dass er sie bei dieser Tätigkeit überwacht, oder Ort, Zeit, Ausmass oder andere Umstände der Prostitution bestimmt, mit Freiheitsstrafe bis zu zehn Jahren oder Geldstrafe bestraft. Gemäss Rechtsprechung setzt die Strafbarkeit voraus, dass auf die Prostituierte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(BGE 129 IV 81 E. 1.2, BGE 126 IV 76 E. 2 und BGE 125 IV 269 E. 1).</w:t>
      </w:r>
    </w:p>
    <w:p>
      <w:r>
        <w:rPr>
          <w:b/>
        </w:rPr>
        <w:t>E. 4.5.3</w:t>
      </w:r>
    </w:p>
    <w:p>
      <w:r>
        <w:t>Inwieweit das Verhalten der Beschwerdeführerin gegenüber den Sexarbeiterinnen in irgendeiner Weise im Sinne von Art. 195 Abs. 3 StGB strafrechtlich relevant gewesen sein könnte, ist nicht vom Bundesverwaltungsgericht zu beurteilen und ohnehin nicht massgebend für das vorliegende Verfahren. Die mehrwertsteuerliche Selbständigkeit wird den Damen nicht abgesprochen, weil auf sie ein unzulässiger Druck ausgeübt wurde, sondern weil sie sich in die Organisation der Beschwerdeführerin einfügten und gegen aussen Letztere für die durch die Dienstleistungen der Frauen erzielten Umsätze als mehrwertsteuerliche Leistungserbringerin in Erscheinung trat. Wie die Gegebenheiten im Innenverhältnis zwischen der Beschwerdeführerin und den Frauen allenfalls in strafrechtlicher Hinsicht zu qualifizieren wären, ist dabei ebenso wenig entscheidend wie die Natur des Vertragsverhältnisses (vgl. zum früheren Recht: Urteile des Bundesverwaltungsgerichts A-2950/2011 vom 8. Februar 2012 E. 3.6.3.3 und A-1562/2006 vom 26. September 2008 E. 3.2.5.2).</w:t>
      </w:r>
    </w:p>
    <w:p>
      <w:r>
        <w:rPr>
          <w:b/>
        </w:rPr>
        <w:t>E. 4.6</w:t>
      </w:r>
    </w:p>
    <w:p>
      <w:r>
        <w:t>Die Beschwerdeführerin bringt sodann vor, durch die von der Vorinstanz vorgenommene Aufrechnung eines Fremdumsatzes werde sie dazu angestiftet, die Sexarbeiterinnen zur Verletzung von Geschäftsgeheimnissen zu nötigen. Dadurch werde der Tatbestand von Art. 6 des Bundesgesetzes vom 19. Dezember 1986 gegen den unlauteren Wettbewerb (UWG, SR 241) erfüllt und setze sich die Vorinstanz dem Vorwurf strafbaren Verhaltens aus (vgl. Beschwerde, S. 11 f.). Gemäss Art. 6 UWG handelt insbesondere unlauter, wer Fabrikations- oder Geschäftsgeheimnisse, welche er ausgekundschaftet oder sonst wie unrechtmässig erfahren hat, verwertet oder andern mitteilt. Als Geheimnis im Sinne dieser Vorschrift gelten "Tatsachen, die weder offenkundig noch allgemein zugänglich sind, an deren Geheimhaltung der Arbeit- resp. Auftraggeber ein berechtigtes Interesse hat und die dieser tatsächlich geheim halten will; dabei ist erforderlich, dass der äusserlich durch entsprechende Vorkehren erkennbare Geheimhaltungswille darauf abzielt, die Tatsachen nur einem bestimmten Personenkreis zugänglich zu machen" (vgl. Reto A. Heizmann, in: Oesch/Weber/Zäch [Hrsg.], Wettbewerbsrecht II, Kommentar, N. 2 zu Art. 7 UWG, mit Hinweis). Art. 6 UWG kann gestützt auf Art. 23 Abs. 1 UWG auch strafrechtlich durchgesetzt werden, wobei in diesem Fall zwischen dem Straftatbestand von Art. 23 UWG (Unlauterer Wettbewerb) und dem Straftatbestand von Art. 162 StGB (Verletzung des Fabrikations- oder Geschäftsgeheimnisses) Idealkonkurrenz bestehen kann (Heizmann, a.a.O., N. 1 zu Art. 7 UWG, mit Hinweis). Die vorliegend fraglichen Umsätze aus Sexdienstleistungen waren der Beschwerdeführerin, soweit sie anlässlich ihrer Parties erzielt wurden, ohne Weiteres bekannt (Fr. 230.- pro Herr). Insofern stehen somit keine Fabrikations- oder Geschäftsgeheimnisse der Sexarbeiterinnen auf dem Spiel, welche die Beschwerdeführerin (namentlich gegenüber den Steuerbehörden) zu wahren hätte. Von solchen Geheimnissen kann indes auch nicht mit Bezug auf die übrigen, im Rahmen des "normalen" Saunabetriebes aufgrund von Sexdienstleistungen erzielten Umsätze ausgegangen werden. Denn es wurde weder substantiiert, noch ist aus den Akten ersichtlich, dass ein äusserlich aufgrund entsprechender Vorkehren erkennbarer Geheimhaltungswille der betroffenen Sexarbeiterinnen vorhanden war. Vor diesem Hintergrund ist das Vorbringen der Beschwerdeführerin, es lägen Verstösse gegen das Lauterkeits- und/oder Strafrecht vor, von vornherein unbegründet. Dies gilt umso mehr, als in der Rechtsprechung in vergleichbaren Fällen mehrwertsteuerliche Zurechnungen von Umsätzen aus Sexdienstleistungen zu den Betreibern von Erotikclubs mehrfach bestätigt worden sind (vgl. anstelle vieler [je zum früheren Recht]: Urteil des Bundesgerichts 2C_426/2008 und 2C_432/2008 vom 18. Februar 2009 E. 4; Urteile des Bundesverwaltungsgerichts A-6241/2011 vom 12. Juni 2012 E. 3 f. und A-2950/2011 vom 8. Februar 2012 E. 3).</w:t>
      </w:r>
    </w:p>
    <w:p>
      <w:r>
        <w:rPr>
          <w:b/>
        </w:rPr>
        <w:t>E. 4.7</w:t>
      </w:r>
    </w:p>
    <w:p>
      <w:r>
        <w:t>Die Beschwerdeführerin rügt, die Vorinstanz habe mit dem angefochtenen "Einspracheentscheid" die Wirtschaftsfreiheit der Sexarbeiterinnen verletzt (vgl. Beschwerde, S. 13). Weshalb vorliegend die Wirtschaftsfreiheit (Art. 27 der Bundesverfassung der Schweizerischen Eidgenossenschaft vom 18. April 1999 [BV, SR 101]) der im Club der Beschwerdeführerin tätigen Sexarbeiterinnen verletzt sein soll, ist angesichts des Umstandes, dass die streitigen Umsätze der Beschwerdeführerin und nicht den Sexarbeiterinnen mehrwertsteuerlich zuzurechnen sind, nicht erkennbar. Das genannte Vorbringen der Beschwerdeführerin ist somit nicht stichhaltig.</w:t>
      </w:r>
    </w:p>
    <w:p>
      <w:r>
        <w:rPr>
          <w:b/>
        </w:rPr>
        <w:t>E. 4.8</w:t>
      </w:r>
    </w:p>
    <w:p>
      <w:r>
        <w:t>Sodann macht die Beschwerdeführerin geltend, das hiervor erwähnte Urteil des Bundesgerichts 2C_806/2008 vom 1. Juli 2009 habe vorliegend keine präjudizielle Wirkung. Dies gelte umso mehr, als das Bundesgericht in dieser Entscheidung unzutreffenderweise angenommen habe, dass der im entsprechenden Verfahren zu beurteilende Sachverhalt mit dem im bundesgerichtlichen Urteil 2C_426/2008 und 2C_432/2008 vom 18. Februar 2009 beurteilten Sachverhalt praktisch identisch sei. Das Bundesgericht habe dabei übergangen, dass die Prostituierten im letztgenannten Fall (indirekte) Stellvertreterinnen der Bordellbetriebe gewesen seien. Es komme hinzu, dass das Urteil des Bundesgerichts 2C_806/2008 vom 1. Juli 2009 mit Blick auf den Vertrauensschutz nicht rückwirkend für die vorliegende, von der Vorinstanz vorgenommene Aufrechnung von Einnahmen der Prostituierten herangezogen werden könne (Beschwerde, S. 13 ff.; vgl. dazu auch die Stellungnahme der Beschwerdeführerin vom 7. März 2013, S. 2). Der Beschwerdeführerin ist in diesem Zusammenhang entgegenzuhalten, dass vorliegend nicht zu klären ist, ob das Bundesgericht in seinem Urteil 2C_806/2008 vom 1. Juli 2009 zu Recht von einem Sachverhalt ausgegangen ist, der mit dem im Verfahren 2C_426/2008 bzw. 2C_432/2008 beurteilten weitgehend identisch ist. Ferner ist darauf hinzuweisen, dass das Bundesgericht mit seinem Urteil 2C_806/2008 vom 1. Juli 2009 die hiervor ebenfalls erwähnte Entscheidung des Bundesverwaltungsgerichts A-1562/2006 vom 26. September 2008 betreffend die Steuerperioden 4. Quartal 1996 bis 1. Quartal 2000 bestätigte. Vorliegend steht ausschliesslich die spätere Steuerperiode 2010 in Frage. Auch ist nicht zu erkennen, dass mit diesen beiden zum früheren Recht gefällten Urteilen eine Praxisänderung erfolgte. Die Rüge, eine Heranziehung dieser Entscheidungen bedeute eine unzulässige Rückwirkung, ist aus diesen Gründen von vornherein unbegründet (zur rückwirkenden Anwendung von Praxisänderungen auf hängige Fälle, die dem gleichen Gesetz unterstehen wie die neue Praxis vgl. im Übrigen Urteil des Bundesgerichts 2A.320/2002 vom 2. Juni 2003, veröffentlicht in ASA 74 S. 674 E. 3.4.2 und E. 3.4.3.7 f. mit Hinweisen; BVGE 2007/14 E. 2.4). Anzumerken ist schliesslich, dass vorliegend auch nichts gegen die Berücksichtigung des zum früheren Recht ergangenen höchstrichterlichen Urteils 2C_426/2008 und 2C_432/2008 vom 18. Februar 2009 spricht. Auch dieses Urteil betraf ältere Steuerperioden (1. Quartal 1996 bis 2. Quartal 2000). Zudem wurden darin Umsätze aus erotischen Dienstleistungen - entgegen der Darstellung der Beschwerdeführerin - ohne Abstützung auf die Stellvertretungsregelung (damals Art. 10 der Verordnung vom 22. Juni 1994 über die Mehrwertsteuer [aMWSTV, AS 1994 1464]) mehrwertsteuerlich dem Betreiber der Erotiketablissements zugerechnet.</w:t>
      </w:r>
    </w:p>
    <w:p>
      <w:r>
        <w:rPr>
          <w:b/>
        </w:rPr>
        <w:t>E. 5</w:t>
      </w:r>
    </w:p>
    <w:p>
      <w:r>
        <w:t>Da feststeht, dass die Beschwerdeführerin mit Bezug auf die Dienstleistungen der Sexarbeiterinnen in ihrem Saunaclub in mehrwertsteuerrechtlicher Hinsicht als Leistungserbringerin zu betrachten ist, ist als Nächstes die Rechtmässigkeit der von der ESTV vorgenommenen Ermessenseinschätzung dieses Umsatzes zu beurteilen.</w:t>
      </w:r>
    </w:p>
    <w:p>
      <w:r>
        <w:rPr>
          <w:b/>
        </w:rPr>
        <w:t>E. 5.1</w:t>
      </w:r>
    </w:p>
    <w:p>
      <w:r>
        <w:t>Die Beschwerdeführerin hat unbestrittenermassen die von den Sexarbeiterinnen erzielten Umsätze nirgends in ihrer Buchhaltung erfasst. Die Buchhaltungsunterlagen entsprechen demzufolge nicht den gesetzlichen Anforderungen, da sie nicht vollständig sind (E. 2.7.2). Unter diesen Umständen war die ESTV dazu berechtigt und verpflichtet, den fraglichen Umsatz durch eine pflichtgemässe Schätzung zu ermitteln (erste Stufe; vgl. vorn E. 2.9.1 und E. 2.11.3). Der Einwand der Beschwerdeführerin, sie habe die entsprechenden Umsätze bei den Sexarbeiterinnen nicht in Erfahrung bringen dürfen, weshalb eine Verbuchung weder zulässig noch geboten gewesen sei (vgl. insbesondere Beschwerde, S. 16), ist nicht stichhaltig. Wie vorne aufgezeigt, sind der Beschwerdeführerin die betreffenden Umsätze mehrwertsteuerrechtlich zuzurechnen (E. 3.3), so dass sie diese als Ertrag zu verbuchen und darüber mit der ESTV abzurechnen hatte.</w:t>
      </w:r>
    </w:p>
    <w:p>
      <w:r>
        <w:rPr>
          <w:b/>
        </w:rPr>
        <w:t>E. 5.2.1</w:t>
      </w:r>
    </w:p>
    <w:p>
      <w:r>
        <w:t>Die ESTV hat eine pflichtgemässe Ermessenseinschätzung vor-nehmen. Dies bedeutet, dass ausreichend abgestützte und plausible Schätzungshilfen heranzuziehen sind, eine vernünftige sowie zweckmässige Schätzungsmethode angewendet werden muss und auf die Besonderheiten des Einzelfalles Rücksicht zu nehmen ist (E. 2.9.2). Implizit zählt dazu auch, dass die vorgenommene Ermessenseinschätzung genügend begründet wird, da nur auf diese Weise nachvollzogen und geprüft werden kann, ob die Schätzung pflichtgemäss erfolgte (vgl. zum früheren Recht: Urteil des Bundesverwaltungsgerichts A-852/2012 vom 27. September 2012 E. 3.4.1). Mit anderen Worten gilt es nun auf einer zweiten Stufe (vgl. vorn E. 2.11.3) - mit der gebotenen Zurückhaltung - zu prüfen, ob eine Ermessensüberschreitung durch die Vorinstanz bei der fraglichen Schätzung erkennbar ist.</w:t>
      </w:r>
    </w:p>
    <w:p>
      <w:r>
        <w:rPr>
          <w:b/>
        </w:rPr>
        <w:t>E. 5.2.2</w:t>
      </w:r>
    </w:p>
    <w:p>
      <w:r>
        <w:t>Die ESTV stützte sich bei der Berechnung des Umsatzes aus erotischen Dienstleistungen an den Party-Tagen auf die Annahme, dass die Anzahl der teilnehmenden Herren der durchschnittlichen Zahl von Männerbesuchen pro Tag bei der Beschwerdeführerin entspricht. Zur Ermittlung der letzteren Zahl bestimmte die Vorinstanz zunächst das Total der Männerbesuche im Jahr 2010, und zwar gestützt auf die Tagesabrechnungen bzw. die Kassa-Berichte der Beschwerdeführerin für den Zeitraum vom März bis Dezember 2010 und eine darauf beruhende Schätzung für die ersten zwei Monate dieses Jahres. Sodann teilte sie dieses Total durch die Anzahl Tage eines Jahres bzw. durch 365 (vgl. E. 3.4 Abs. 1 des "Einspracheentscheids" und Akten Vorinstanz, act. 17 und act. 19 Beilage 1). Den Umsatz aus erotischen Dienstleistungen an Party-Tagen errechnete die Vorinstanz sodann, indem sie die Zahl der an einer Party teilnehmenden Herren mit der Anzahl Parties pro Jahr und dem Eintrittspreis für die Herren (Fr. 300.-) multiplizierte und vom Ergebnis pro Partyteilnehmer des entsprechenden Jahres den bereits verbuchten und besteuerten Betrag von Fr. 70.- pro Eintritt abzog (vgl. E. 3.4 Abs. 1 des "Einspracheentscheids"). Mit Bezug auf die Nicht-Party-Tage (361 Tage) ging die Vorinstanz von der gemäss dem vorne genannten Vorgehen ermittelten Zahl von Männerbesuchen pro Jahr aus, zog davon die kalkulierte Anzahl der Eintritte der Herren an Party-Tagen ab und dividierte das Ergebnis durch die Zahl an Nicht-Party-Tagen pro Jahr (361; vgl. E. 3.4 Abs. 2 des "Einspracheentscheids" und Akten Vorinstanz, act. 19 Beilage 1). Die so ermittelte durchschnittliche Anzahl der Männerbesuche pro Nicht-Party-Tag multiplizierte die ESTV mit dem von ihr aufgrund von Erfahrungswerten geschätzten Preis für erotische Dienstleistungen von Fr. 150.- und mit der Anzahl der Nicht-Party-Tage pro Jahr. Schliesslich zog die Vorinstanz vom Ergebnis die Summe der von den Damen im Jahr 2010 (nach den Kassa-Berichten der Beschwerdeführerin und diesbezüglichen ergänzenden Berechnungen der Vorinstanz) bezahlten Eintrittsentgelte ab, weil dieser Betrag bereits in die Steuerbemessungsgrundlage geflossen sei. Dieses Vorgehen ergibt nach Auffassung der ESTV den nachzubesteuernden Umsatz aus erotischen Dienstleistungen der Prostituierten an Nicht-Party-Tagen.</w:t>
      </w:r>
    </w:p>
    <w:p>
      <w:r>
        <w:rPr>
          <w:b/>
        </w:rPr>
        <w:t>E. 5.2.3.1</w:t>
      </w:r>
    </w:p>
    <w:p>
      <w:r>
        <w:t>Die Beschwerdeführerin rügt insbesondere, es sei willkürlich anzunehmen, dass die nicht anlässlich ihrer Parties erbrachten erotischen Dienstleistungen mit einem Entgelt von Fr. 150.- abgegolten wurden. Sie beruft sich dabei auf das Urteil des Bundesverwaltungsgerichts A-1562/2006 vom 26. September 2008 und macht geltend, in dieser Entscheidung sei man von einem durchschnittlichen Preis der erotischen Dienstleistungen von Fr. 115.- ausgegangen (Beschwerde, S. 20). Die ESTV führte in der Einschätzungsmitteilung aus, der Betrag von Fr. 150.- ergebe sich aus Vergleichszahlen aus anderen Clubs, wo für 30 Min. Fr. 150.-, für 60 Min. Fr. 300.- sowie für einen "Quicky" Fr. 50.- bezahlt werde (Akten Vorinstanz, act. 19 Beilage 1 Fn. 9). Es seien damit auch allfällige gegenüber Paaren erbrachte erotische Dienstleistungen abgegolten. Zudem werde mit diesem tiefen Ansatz auch dem Umstand Rechnung getragen, dass nicht alle Besucher erotische Dienstleistungen in Anspruch nehmen würden (vgl. auch E. 4.7.2 des "Einspracheentscheids"). Im "Einspracheentscheid" verwies die ESTV in diesem Zusammenhang auch auf das Urteil des Bundesverwaltungsgerichts A-1562/2006 vom 26. September 2008.</w:t>
      </w:r>
    </w:p>
    <w:p>
      <w:r>
        <w:rPr>
          <w:b/>
        </w:rPr>
        <w:t>E. 5.2.3.2</w:t>
      </w:r>
    </w:p>
    <w:p>
      <w:r>
        <w:t>Die ESTV hat sich bei ihrer Schätzung auf Daten einer nicht offen gelegten Zahl anderer Betriebe gestützt. Sie hat dabei auch nicht erläutert, dass die zum Vergleich herangezogenen Betriebe nicht nur der gleichen Branche zuzurechnen, sondern auch in anderer Hinsicht mit dem Club C._______ vergleichbar sind, wie zum Beispiel betreffend Standort, Betriebsgrösse, Kundenkreis usw. Die Angaben, wonach in anderen Clubs für 30 Min. Fr. 150.-, für 60 Min. Fr. 300.- sowie für einen "Quicky" Fr. 50.- zu bezahlen sind, genügen deshalb für sich allein nicht als Begründung (vgl. vorn E. 2.10.3). Freilich hat die ESTV im "Einspracheentscheid" im Zusammenhang mit dem Ansatz von Fr. 150.- pro Dienstleistung auch auf das Urteil des Bundesverwaltungsgerichts A-1562/2006 vom 26. September 2008 verwiesen. In diesem Urteil hatte das Gericht insbesondere ausgeführt, ein Ansatz von Fr. 115.- netto als Durchschnittswert pro Kunde liege "im unteren Rahmen" der Preise für erotische Dienstleistungen, welche in ähnlich gelagerten, vom Gericht früher beurteilten Fällen vorgelegen hätten (E. 4.2.2.2 des Urteils). Indem die ESTV im "Einspracheentscheid" auf das genannte Urteil des Bundesverwaltungsgerichts verweist, erklärt sie sinngemäss, dass sich der vorliegend angewendete Ansatz von Fr. 150.- nach ihrer Ansicht ebenfalls an den Rahmen der Preise hält, welche das Gericht in der entsprechenden Erwägung als Vergleichszahlen für die Beurteilung des damaligen Ansatzes von Fr. 115.- nannte. Gleichwohl hält ihre Begründung einer Überprüfung nicht stand. Denn es ist nicht nachvollziehbar, weshalb die Vorinstanz vorliegend den Ansatz um Fr. 35.- bzw. um rund 30 % höher als bei dem das Verfahren A-1562/2006 betreffenden Sachverhalt legen musste: Zwar hat die Vorinstanz erklärt, mit dem Ansatz von Fr. 150.- seien auch allfällige gegenüber Paaren erbrachte erotische Dienstleistungen abgegolten. Selbst unter der Annahme, dass ein Paar an den Nicht-Partytagen in gleichem Umfang wie ein Mann ohne Partnerin erotische Dienstleistungen in Anspruch genommen hat, hätten die Paare aber nur eine geringfügige Erhöhung des Ansatzes von Fr. 115.- gerechtfertigt: Ausgehend von den aus den Kassa-Berichten der Beschwerdeführerin entnommenen und teilweise von der Vorinstanz errechneten Einnahmen aufgrund von Eintritten der Paare (Fr. 14'966.-) und dem Eintrittspreis für Paare (Fr. 80.-) lässt sich darauf schliessen, dass im Jahr 2010 rund 187 Paare (an Nicht-Party-Tagen) den Club besuchten. Hätte jedes dieser Paare im Sinne der genannten Annahme je eine erotische Dienstleistung gegen ein Entgelt von Fr. 115.- in Anspruch genommen, wäre mittels erotischer Dienstleistungen für Paare ein Gesamtbetrag von Fr. 21'505.- (187 x Fr. 115.-) erzielt worden. Verteilt man diesen Gesamtbetrag auf die Männerbesuche an Nicht-Party-Tagen im Jahr 2010 (nach den vorinstanzlichen Angaben: 12'689 Besuche), ergibt sich ein Betrag von ca. Fr. 1.70 pro Männerbesuch. Dementsprechend hätte sich im besagten Jahr (unter der gegebenen Annahme) nur in diesem Umfang eine Erhöhung des Ansatzes von Fr. 115.- pro Mann aufgrund der erotischen Dienstleistungen für Paare gerechtfertigt. Wie vor diesem Hintergrund die Erhöhung um Fr. 35.- pro Mann zustande kam, ist umso weniger ersichtlich, als die Vorinstanz behauptet, einen tiefen Ansatz gewählt zu haben, um Besuche von Männern ohne Inanspruchnahme erotischer Dienstleistungen zu berücksichtigen.</w:t>
      </w:r>
    </w:p>
    <w:p>
      <w:r>
        <w:rPr>
          <w:b/>
        </w:rPr>
        <w:t>E. 5.2.3.3</w:t>
      </w:r>
    </w:p>
    <w:p>
      <w:r>
        <w:t>Zwar wurden in E. 4.2.2.2 des Urteils des Bundesverwaltungsgerichts A-1562/2006 vom 26. September 2008 im Zusammenhang mit der Überprüfung des Ansatzes von Fr. 115.- mehrere Entscheidungen erwähnt. Diese Entscheidungen vermögen aber für sich allein den vorliegend angewendeten Ansatz von Fr. 150.- nicht zu erklären: Im Fall, welcher dem Urteil des Bundesverwaltungsgerichts A-1400/2006 vom 6. Februar 2008 zugrunde lag, hatte die ESTV auf Einzelpreise von Fr. 160.- für eine ¼-Stunde, Fr. 280.- für eine halbe Stunde, Fr. 380.- für eine ¾-Stunde sowie Fr. 480.- für eine volle Stunde abgestellt und daraus einen durchschnittlichen Stundenansatz von Fr. 545.- errechnet. Dies wurde vom Gericht nicht beanstandet. Freilich handelte es sich dabei um Stundenansätze und nicht um einen Durchschnittsansatz pro Eintritt, wie er vorliegend in Frage steht. Ebenso ging es bei den weiteren, hier interessierenden Urteilen des Bundesverwaltungsgerichts (A-1382/2006 und A-1383/2006 vom 19. Juli 2007), wo je nach Art der einzelnen Dienstleistungen zwischen Fr. 50.- und Fr. 200.- sowie Fr. 300.- für den "1/2-Std.-Service" bzw. Fr. 500.- für den "Std.-Service" zur Diskussion standen, im Unterschied zum vorliegenden Fall nicht um die durchschnittlich pro Eintritt in Anspruch genommenen Dienstleistungen (vgl. je E. 3.5 der Urteile). Vor diesem Hintergrund hätte die Vorinstanz zumindest näher dartun müssen, weshalb der Ansatz von Fr. 150.- noch in dem im Urteil A-1562/2006 vom 26. September 2008 erwähnten Rahmen der Preise liegt, die bei ähnlichen, vom Bundesverwaltungsgericht beurteilten Fällen bezahlt wurden. Nichts daran zu ändern vermag der Umstand, dass das Bundesverwaltungsgericht in diesem Urteil einen Ansatz von Fr. 115.- als "im unteren Rahmen" der üblichen Preise für erotische Dienstleistungen liegend bezeichnete (E. 4.2.2.2 des Urteils) und damit Raum für allfällige höhere Ansätze liess. Denn Letzteres kann nicht von der behördlichen Pflicht entbinden, den angenommenen Preis namentlich dann, wenn er - wie in casu - wesentlich vom Ansatz von Fr. 115.- abweicht, zu begründen (vgl. auch Urteil des Bundesverwaltungsgerichts A-852/2012 vom 27. September 2012 E. 3.5, wo ein durchschnittlicher Ansatz von Fr. 180.- nicht als hinreichend begründet qualifiziert wurde).</w:t>
      </w:r>
    </w:p>
    <w:p>
      <w:r>
        <w:rPr>
          <w:b/>
        </w:rPr>
        <w:t>E. 5.3</w:t>
      </w:r>
    </w:p>
    <w:p>
      <w:r>
        <w:t>Die Vorinstanz hat nach dem Gesagten vorliegend mit dem nicht hinreichend begründeten Ansatz von Fr. 150.- pro Dienstleistung ihr Ermessen überschritten. Sie hat deshalb eine neue Schätzung nach pflichtgemässem Ermessen vorzunehmen und dabei insbesondere den angewendeten Ansatz pro Dienstleistung zu begründen. Bei diesem Ergebnis erübrigt es sich, auf die weiteren Argumente der Beschwerdeführerin einzugehen (vgl. zur dritten Stufe unter Umkehr der Beweislast vorn E. 2.11.3).</w:t>
      </w:r>
    </w:p>
    <w:p>
      <w:r>
        <w:rPr>
          <w:b/>
        </w:rPr>
        <w:t>E. 6</w:t>
      </w:r>
    </w:p>
    <w:p>
      <w:r>
        <w:t>Die Beschwerde ist im Sinn der Erwägungen gutzuheissen, der "Einspracheentscheid" vom 30. Oktober 2012 aufzuheben und die Sache an die ESTV zur Durchführung einer neuen Schätzung der Einnahmen aus den erotischen Dienstleistungen nach pflichtgemässem Ermessen zurückzuweisen. 7.1 Gemäss bundesgerichtlicher Rechtsprechung gilt die Rückweisung der Sache an die Vorinstanz zwecks ergänzender Abklärungen als volles Obsiegen der beschwerdeführenden Partei (BGE 132 V 215 E. 6.1). Da-her sind der Beschwerdeführerin ausgangsgemäss keine Gerichtskosten aufzuerlegen (vgl. Art. 63 Abs. 1 VwVG), und zwar auch nicht für den Zwischenentscheid des Bundesverwaltungsgerichts vom 30. Januar 2013 über ihr Ausstandsbegehren. Der bereits geleistete Kostenvorschuss im Betrag von Fr. 4'500.- ist zurückzuerstatten. Der ESTV können keine Kosten auferlegt werden (Art. 63 Abs. 2 VwVG). 7.2 Die Beschwerdeinstanz spricht der obsiegenden Partei von Amtes wegen oder auf Begehren eine Entschädigung für ihr erwachsene not-wendige und verhältnismässig hohe Kosten zu (Art. 64 Abs. 1 VwVG und Art. 7 Abs. 1 des Reglements vom 21. Februar 2008 über die Kosten und Entschädigungen vor dem Bundesverwaltungsgericht [VGKE, SR 173.320.2]). Die Parteientschädigung umfasst die Kosten der Vertretung sowie allfällige weitere notwendige Auslagen der Partei (Art. 8 VGKE). Unter Berücksichtigung der Komplexität des Falles, der eingereichten Rechtsschriften, des notwendigen Aufwandes sowie eines durch-schnittlichen Stundenansatzes ist die Entschädigung ermessensweise auf Fr. 3'500.- festzusetzen. Die Vorinstanz hat die Parteientschädigung zu bezahlen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