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A-6176/2010 vom 18. Januar 2011</w:t>
      </w:r>
    </w:p>
    <w:p>
      <w:r>
        <w:t>Bundesverwaltungsgericht, 2011-01-18, DE</w:t>
      </w:r>
    </w:p>
    <w:p>
      <w:r>
        <w:rPr>
          <w:b/>
        </w:rPr>
        <w:t xml:space="preserve">Quelle: </w:t>
      </w:r>
      <w:r>
        <w:t>https://mcp.opencaselaw.ch/entscheid/bvger_A-6176_2010</w:t>
      </w:r>
    </w:p>
    <w:p>
      <w:r>
        <w:t>FR: TAF A-6176/2010 du 18 janvier 2011</w:t>
      </w:r>
    </w:p>
    <w:p>
      <w:r>
        <w:t>IT: TAF A-6176/2010 del 18 gennaio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 6053/2010 vom 10. Januar 2011 E. 1.4; Moser/Beusch/Kneubühler,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 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 6053/2010 vom 10. Januar 2011 E. 1.5 und A 4911/2010 vom 30. November 2010 E. 1.4.2).</w:t>
      </w:r>
    </w:p>
    <w:p>
      <w:r>
        <w:rPr>
          <w:b/>
        </w:rPr>
        <w:t>E. 2.1</w:t>
      </w:r>
    </w:p>
    <w:p>
      <w:r>
        <w:t>Der Staatsvertrag 10 ist für die schwei­ze­rischen Behörden ver­bind­lich. Weder innerstaatliches Recht noch inner­staatliche Praxis können ihm entgegengehalten werden (Urteile des Bundesver­wal­tungs­­gerichts A-6053/2010 vom 10. Januar 2011 E. 2.1 und A 4013/2010 vom 15. Juli 2010 E. 6.7).</w:t>
      </w:r>
    </w:p>
    <w:p>
      <w:r>
        <w:rPr>
          <w:b/>
        </w:rPr>
        <w:t>E. 2.2</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(Urteile des Bundesverwaltungsgerichts A-6053/2010 vom 10. Januar 2011 E. 4 und A-4013/2010 vom 15. Juli 2010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(Urteile des Bundesverwaltungsgerichts A-6053/2010 vom 10. Januar 2011 E. 4 und A-4013/2010 vom 15. Juli 2010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(Urteile des Bundesverwaltungsgerichts A 6053 vom 10. Januar 2011 E. 4 und A 4911/2010 vom 30. November 2010 E. 3, vgl. auch bereits Urteil des Bundesverwaltungsgerichts A 4013/2010 vom 15. Juli 2010 E. 2.1 ff.).</w:t>
      </w:r>
    </w:p>
    <w:p>
      <w:r>
        <w:rPr>
          <w:b/>
        </w:rPr>
        <w:t>E. 2.3</w:t>
      </w:r>
    </w:p>
    <w:p>
      <w:r>
        <w:t>Nach Ziff. 1 Bst. B des Anhangs zum Staatsvertrag 10 fallen (unter anderen) folgende Personen unter das Amtshilfeersuchen: «US persons (irrespective of their domicile) who beneficially owned &amp;lt;offshore company accounts&amp;gt; that have been established or main­tained during the period of years 2001 through 2008 and for which a reasonable suspicion of &amp;lt;tax fraud or the like&amp;gt;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2.3.1</w:t>
      </w:r>
    </w:p>
    <w:p>
      <w:r>
        <w:t>Gemäss vertragsautonomer Auslegung nach den allgemeinen Be­­stim­mungen von Art. 31 ff. VRK erfasst der Begriff «US-Persons» nicht nur US-Staats­an­ge­hö­rige, sondern alle Personen, welche in den USA in der vom Ab­kommen bestimmten Zeitperiode 2001 bis 2008 subjektiv steu­er­pflichtig waren. Gemäss dem ameri­ka­nischen «Internal Revenue Code» (IRC; Steuergesetz) sind neben «US-Citizens» (US-Staats­an­ge­hörige) auch «resident aliens» in den USA subjektiv steuer­pflichtig (Urteil des Bundesver­wal­tungs­ge­richts A 6053/2010 vom 10. Januar 2011 E. 7.1.1; vgl. auch grundlegend Urteil des Bun­desverwaltungsgerichts A-4911/2010 vom 30. November 2010 E. 5.2).</w:t>
      </w:r>
    </w:p>
    <w:p>
      <w:r>
        <w:rPr>
          <w:b/>
        </w:rPr>
        <w:t>E. 2.3.2</w:t>
      </w:r>
    </w:p>
    <w:p>
      <w:r>
        <w:t>Des Weiteren müssen die «US-Persons»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Sinne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 Konto einer Foundation (mit Sitz in Liechten­stein) als «offshore company account» nach dem An­hang des Staatsvertrags 10 qualifiziert (Urteil des Bundesver­wal­tungs­ge­richts A 6053/2010 vom 10. Januar 2011 E. 7.2.2).</w:t>
      </w:r>
    </w:p>
    <w:p>
      <w:r>
        <w:rPr>
          <w:b/>
        </w:rPr>
        <w:t>E. 2.3.3</w:t>
      </w:r>
    </w:p>
    <w:p>
      <w:r>
        <w:t>Zur Beurteilung, ob eine wirtschaftliche Berechtigung («bene­ficially owned») an einem «off­shore company account» vorliegt, ist entscheidend, inwiefern die «US Person» das sich auf dem UBS 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 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Auf­­lage, London/The Hague/Boston 1997, S. 562). Ob und ge­ge­ben­en­falls in welchem Um­fang die wirt­schaft­liche Verfügungs­macht und Kon­trol­le über das sich auf dem UBS 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 6053/2010 vom 10. Januar 2011 E. 7.3.2).</w:t>
      </w:r>
    </w:p>
    <w:p>
      <w:r>
        <w:rPr>
          <w:b/>
        </w:rPr>
        <w:t>E. 2.3.4</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Aufforderung der ESTV - zu beweisen unterliess, dass sie ihre steuerrechtlichen Meldepflichten in Bezug auf ihre Interessen an der Foundation erfüllt hat, indem die ESTV ermächtigt worden wäre, beim IRS Kopien der FBAR-Erklä­rungen für die relevanten Jahren einzu­holen (Urteil des Bundes­verwaltungs­gerichts A 6053/2010 vom 10. Januar 2011 E. 2.3). Bezüglich der Kontoeigenschaften wird im Staatsvertrag 10 verlangt, dass auf dem UBS-Konto innerhalb von einer beliebigen Drei­jahres­periode, welche min­des­tens ein vom Er­suchen umfasstes Jahr ein-schliesst, jährliche Durch­schnitts­ein­künfte von mehr als Fr. 100'000.-- erzielt worden sind. Im Sinne des Staats­vertrags 10 werden für die Be­rechnung der Durch­schnitts­ein­künfte das Bruttoeinkommen (Zinsen und Dividenden) und die Kapital­ge­winne (die als 50% der Bruttover-kaufserlöse berechnet wer­den) heran­gezogen. Der Anhang zum Staatsvertrag 10 legt ver­trags­auto­nom fest, wie die Kapitalgewinne für den Zweck der Konto­analyse berechnet werden. Es besteht damit kein Raum für den Nach­weis der effektiven Gewinne bzw. Verluste (Urteile des Bundes­verwaltungsgerichts A 6053/2010 vom 10. Januar 2011 E. 9.1 und A 4013/2010 vom 15. Juli 2010 E. 8.3.3).</w:t>
      </w:r>
    </w:p>
    <w:p>
      <w:r>
        <w:rPr>
          <w:b/>
        </w:rPr>
        <w:t>E. 2.4.1</w:t>
      </w:r>
    </w:p>
    <w:p>
      <w:r>
        <w:t>In der Lehre wird teilweise die Auffassung vertreten, Namen von Dritten, die offensichtlich nichts mit den vorgeworfenen Handlungen zu tun ha­ben, sollen im Bereich der Amtshilfe in Steuersachen nicht an den IRS übermittelt werden (Peter Honegger/Andreas Kolb, Amts- und Rechts­hilfe: 10 Aktuelle Fragen, in ASA 77 S. 804, vgl. auch Hans-Peter Schaad, in Watter/Vogt [Hrsg.], Basler Kommentar zum Börsen­gesetz, Basel 2007, Art. 38 N. 72).</w:t>
      </w:r>
    </w:p>
    <w:p>
      <w:r>
        <w:rPr>
          <w:b/>
        </w:rPr>
        <w:t>E. 2.4.2</w:t>
      </w:r>
    </w:p>
    <w:p>
      <w:r>
        <w:t>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Das Bun­des­verwal­tungs­ge­richt hat keinen An­lass, diese Recht­sprechung in Frage zu stellen (Urteil des Bundes­ver­wal­tungsgerichts A-­4013/2010 vom 15. Juli 2010 E. 7.2.1).</w:t>
      </w:r>
    </w:p>
    <w:p>
      <w:r>
        <w:rPr>
          <w:b/>
        </w:rPr>
        <w:t>E. 2.4.3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lit.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w:t>
      </w:r>
    </w:p>
    <w:p>
      <w:r>
        <w:rPr>
          <w:b/>
        </w:rPr>
        <w:t>E. 2.5</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oben E. 2.2)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w:t>
      </w:r>
    </w:p>
    <w:p>
      <w:r>
        <w:rPr>
          <w:b/>
        </w:rPr>
        <w:t>E. 3.1.1</w:t>
      </w:r>
    </w:p>
    <w:p>
      <w:r>
        <w:t>Die Beschwerdeführerin bringt vor, sie falle nicht unter das Amts­hilfeersuchen, da sie nicht «US-Person» im Sinne des Anhangs zum Staatsvertrag 10 sei. Sie macht geltend, sie habe als x._______ [x. nicht USA] Staats­bürgerin mit Wohnsitz in x._______ weder die US-amerikanische Staats­bürgerschaft besessen noch jemals Wohnsitz in den USA be­gründet. Die Vorinstanz beantragt in ihrer Vernehmlassung und ihrer Duplik die dies­be­zügliche Gutheissung der Beschwerde, da die Be­schwer­de­führerin habe "glaub­haft nachweisen können", dass sie nie eine «US-Person» gewesen sei. Sie präzisiert, sie sei beim Erlass der an­ge­fochtenen Schlussverfü­gung gestützt auf die «General power of attorney» davon ausgegangen, dass es sich bei der Beschwerde­führerin um eine «US-Person» handle. Diese Angaben seien durch die von der Beschwerdeführerin einge­reichten Belege entkräftet worden.</w:t>
      </w:r>
    </w:p>
    <w:p>
      <w:r>
        <w:rPr>
          <w:b/>
        </w:rPr>
        <w:t>E. 3.1.2</w:t>
      </w:r>
    </w:p>
    <w:p>
      <w:r>
        <w:t>Damit gesteht die Vorinstanz selber zu, dass sich bezüglich der Beschwerdeführerin keine hin­reichenden Anhalts­punkte dafür ergeben, dass die Schwelle zur berechtigten An­nahme, dass es sich bei der Be­schwer­deführerin um eine «US-Person» handelt, erreicht ist (E. 1.5). Ohne dass es dessen noch bedurft hätte, gelingt es der Be­schwer­deführerin sodann auch, klarerweise und entscheidend zu entkräften, dass sie in den Jahren 2001 bis 2008 «US-Person» war und demnach unter den Staatsvertrag 10 fällt (E. 2.3.1). Den diesbezüglich überein­stim­menden Anträgen der Parteien kann damit ohne weiteres Folge gegeben werden.</w:t>
      </w:r>
    </w:p>
    <w:p>
      <w:r>
        <w:rPr>
          <w:b/>
        </w:rPr>
        <w:t>E. 3.1.3</w:t>
      </w:r>
    </w:p>
    <w:p>
      <w:r>
        <w:t>Die Voraussetzungen zur Gewährung von Amtshilfe gemäss Art. 26 DBA-USA 96 sind damit vorliegend nicht erfüllt und die Be­schwerde ist gemäss übereinstimmenden Anträgen der Verfahrensbe­teiligten diesbezüglich gutzuheissen. Demgemäss sind jegliche Hin­weise auf die Beschwerdeführerin in der Schlussverfügung abzu­decken. Dabei ist insbesondere zu beachten, dass dem IRS nur die­jenigen Dokumente zu übermitteln sind, welche im Verfahren gegen­über Y._______ potentiell erheblich sind. Davon ausgeschlossen sind insbesondere solche Unterlagen, welche sich noch einzig auf­grund des Amtshilfeverfahrens gegenüber der Beschwerdeführerin in den Akten befinden, sich also ausschliesslich auf sie beziehen und keinerlei Bezug zu Y._______ aufweisen (beispielsweise die von der Beschwerdeführerin explizit erwähnten Rg.Nr._______ und Rg.Nr._______). Diese hat die Vorinstanz aus den betreffend Y._______ amtshilfeweise zu übermittelnden Akten zu entfernen.</w:t>
      </w:r>
    </w:p>
    <w:p>
      <w:r>
        <w:rPr>
          <w:b/>
        </w:rPr>
        <w:t>E. 3.2.1</w:t>
      </w:r>
    </w:p>
    <w:p>
      <w:r>
        <w:t>Des Weiteren verlangt die Beschwerdeführerin die Abdeckung der von der UBS AG edierten elektronischen Dateien im PDF-Format 2 bis 6.4 sowie des Certificate of Authenticity of Business Records, soweit diese Unterlagen die Beschwerdeführerin als wirtschaftlich Berechtigte nennen oder geeignet seien, Auskunft über ihre Identität zu geben. Die Beschwerdeführerin stützt sich dabei im Wesentlichen auf die Behauptung, sie sei unbeteiligte Dritte.</w:t>
      </w:r>
    </w:p>
    <w:p>
      <w:r>
        <w:rPr>
          <w:b/>
        </w:rPr>
        <w:t>E. 3.2.2</w:t>
      </w:r>
    </w:p>
    <w:p>
      <w:r>
        <w:t>Eine Gesell­schaft, die als Mittlerin benutzt wurde, um einer anderen Gesellschaft Gelder zur Verfügung zu stellen, die dazu be­stimmt waren, die im Rechtshilfegesuch erwähnte Straftat zu er­mög­li­chen, ist gemäss bundesgerichtlicher Rechtsprechung nicht unbe­teiligte Dritte. Dasselbe gilt für natürliche Personen, die eine solche Gesell­schaft beherrschen oder leiten und Inhaber eines Bank­kontos sind, das für verdächtige Transaktionen benutzt wurde (E. 2.4.3). An­ge­sichts der Anwendbarkeit dieser Grundsätze auch auf das Amts­hilfe­verfahren folgt ohne weiteres, dass die Beschwerdeführerin als un­be­strittener­massen wirtschaftlich Berechtigte an der Foundation nicht als unbe­teiligte Dritte gelten kann. Bereits dies spricht gegen die anbe­gehrte Abdeckung der Angaben der Beschwer­de­führerin, soweit diese über die in E. 3.1.3 gewährten Ein­schrän­kungen hinaus­gehen.</w:t>
      </w:r>
    </w:p>
    <w:p>
      <w:r>
        <w:rPr>
          <w:b/>
        </w:rPr>
        <w:t>E. 3.2.3</w:t>
      </w:r>
    </w:p>
    <w:p>
      <w:r>
        <w:t>Die Beschwerdeführerin bringt überdies vor, die Vorinstanz habe keine besondere sachliche Beziehung zu einer Straf­tat nach­weisen kön­nen, weshalb sie - die Beschwerdeführerin - auch nicht als Be­teiligte gelten könne. Die ESTV setzte den Verfügungsadressaten mit Schreiben vom 4. Mai 2010 Frist bis zum 8. Juni 2010, um die ESTV zu ermächtigen, beim IRS Kopien ihrer FBAR-Erklärungen einzuholen. Weder die Beschwer­de­führerin noch Y._______ erteilten der ESTV innert Frist eine solche Ermächtigung. Das UBS Konto der Foundation hat gemäss den an die ESTV eingereichten Bankunterlagen mindestens drei Jahre zwischen 1999 und 2008 bestanden (damit einschliesslich eines vom Ersuchen erfassten Jahres) und gemäss der Dossieranalyse der Vor­instanz sind auf dem Konto der Foundation im Jahr 2001 Erträge von Fr. 1'068'037.-- und im Jahr 2002 solche von Fr. 728'930.-- erzielt wor­den und damit im Rahmen von drei aufeinander folgenden Jahren deutlich mehr als durchschnittlich Fr. 100'000.-- pro Jahr. Die Kontoeigenschaften gemäss Ziff. 2 Bst. B/b des Anhangs zum Staatsvertrag 10 sind hiermit für das UBS Konto der Foundation erfüllt. Seitens der wirtschaftlich Berechtigten an der Foundation wurde zudem nicht dargelegt, inwiefern sie ihren steuer­recht­lichen Mel­de­pflichten in Bezug auf ihre Interessen an der Foundation als Offshore-Gesellschaft nachgekommen sind. Gemäss der ein­schlä­gigen Bestimmung im Anhang zum Staatsvertrag 10 be­steht somit der begründete Verdacht auf «fortgesetzte und schwere Steu­er­delikte» (E. 2.3.4). Damit kann die Beschwerdeführerin betreffend die für Y._______ zu leistende Amts­hilfe als wirtschaftlich Berechtigte an der Foundation nicht als in keiner Weise mit der ihr zugrunde liegenden Straftat verbunden und dementsprechend auch unter diesem Gesichtspunkt nicht als un­be­teiligte Dritte gelten (E. 2.4.3). Mit Recht hat die Vorinstanz die anbegehrten (über die in E. 3.1.3 gewährten) Ab­deckungen verweigert. Folglich ist die Beschwer­de in diesem Punkt ab­zuweisen.</w:t>
      </w:r>
    </w:p>
    <w:p>
      <w:r>
        <w:rPr>
          <w:b/>
        </w:rPr>
        <w:t>E. 3.2.4</w:t>
      </w:r>
    </w:p>
    <w:p>
      <w:r>
        <w:t>Schliesslich ist, wie die Vorinstanz zutreffend ausführt, gemäss dem Prinzip der Spezialität ohnehin davon auszugehen, dass die amerika­nischen Steuerbehörden die amts­hilfe­weise übermittelten Informa­ti­onen dem Abkommen und den allge­meinen Grundsätzen ent­sprechend und die übermittelten Daten dement­sprechend auch nur in Be­zug auf Y._______ verwenden (E. 2.5). Soweit es im Übrigen in den in den Vereinigten Staaten gegen die Be­schwerde­führerin einge­leiteten Verfahren oder erhobenen Anklagen um Fragen gehen sollte, die mit den Steuern, die unter das Abkommen fallen und für die Amts­hilfe geleistet worden ist, nichts zu tun haben, kann der Beschwer­de­führerin zugemutet werden, dass sie ent­sprechende Ein­wen­dungen in einem allfälligen amerikanischen Verfahren erhebt.</w:t>
      </w:r>
    </w:p>
    <w:p>
      <w:r>
        <w:rPr>
          <w:b/>
        </w:rPr>
        <w:t>E. 4</w:t>
      </w:r>
    </w:p>
    <w:p>
      <w:r>
        <w:t>Die Beschwerde ist damit im Sinne der Erwägungen teilweise gutzu­heissen. Die Sache ist zur Abdeckung der Hinweise auf die Be­schwer­de­führerin in der Schlussverfügung vom 7. Juni 2010 sowie zur Ent­fer­nung der Akten, welche einzig die Beschwerdeführerin betreffen, an die ESTV zurück­zuweisen. Im Übrigen ist die Beschwerde ab­zu­weisen. Angesichts der teilweisen Gut­heissung werden der Beschwer­de­führerin die Kosten für das vorliegende Verfahren von Fr. 20'000.-- im reduzierten Umfang von Fr. 5'000.-- auferlegt (Art. 63 Abs. 1 VwVG). Der Beschwerde­führerin wird eine reduzierte Parteientschädigung von Fr. 15'000.-- zu­ge­sprochen (Art. 64 Abs. 1 VwVG; Art. 8 ff. sowie Art. 13 f. des Reglements vom 21. Februar 2008 über die Kosten und Entschä­digungen vor dem Bundesverwaltungsgericht, SR 173.320.2).</w:t>
      </w:r>
    </w:p>
    <w:p>
      <w:r>
        <w:rPr>
          <w:b/>
        </w:rPr>
        <w:t>E. 5</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