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A-6139/2020 vom 25. Oktober 2021</w:t>
      </w:r>
    </w:p>
    <w:p>
      <w:r>
        <w:t>Bundesverwaltungsgericht, 2021-10-25, FR</w:t>
      </w:r>
    </w:p>
    <w:p>
      <w:r>
        <w:rPr>
          <w:b/>
        </w:rPr>
        <w:t xml:space="preserve">Quelle: </w:t>
      </w:r>
      <w:r>
        <w:t>https://mcp.opencaselaw.ch/entscheid/bvger_A-6139_2020</w:t>
      </w:r>
    </w:p>
    <w:p>
      <w:r>
        <w:t>FR: TAF A-6139/2020 du 25 octobre 2021</w:t>
      </w:r>
    </w:p>
    <w:p>
      <w:r>
        <w:t>IT: TAF A-6139/2020 del 25 ottobre 2021</w:t>
      </w:r>
    </w:p>
    <w:p>
      <w:pPr>
        <w:pStyle w:val="Heading2"/>
      </w:pPr>
      <w:r>
        <w:t>Regeste</w:t>
      </w:r>
    </w:p>
    <w:p>
      <w:r>
        <w:t>Assistance administrative</w:t>
      </w:r>
    </w:p>
    <w:p>
      <w:pPr>
        <w:pStyle w:val="Heading2"/>
      </w:pPr>
      <w:r>
        <w:t>Erwägungen</w:t>
      </w:r>
    </w:p>
    <w:p>
      <w:r>
        <w:rPr>
          <w:b/>
        </w:rPr>
        <w:t>E. 5.1.1</w:t>
      </w:r>
    </w:p>
    <w:p>
      <w:r>
        <w:t>Pour ce qui est des conditions de fond, les recourants arguent en premier lieu que les principes de la pertinence vraisemblable et de l'interdiction de la pêche aux renseignements seraient violés. A l'appui de leur grief, ils avancent que la loi française n° 2018-998 du 23 octobre 2018 aurait instauré l'automaticité des dépôts de plaintes devant le procureur de la république par les fonctionnaires fiscaux recevant les renseignements par la voie de l'assistance fiscale internationale. Ils en concluent que le risque qu'ils encourent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Les recourants allèguent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eux, il ne serait pas possible de conclure que ces données sont actuelles, de sorte que leur utilisation, sans autre indice, constituerait une fishing expedition. Finalement, les recourants avancent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les recourants du principe de proportionnalité, il n'apparaît pas que le risque encouru par les recourants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les données sur lesquelles se base la présente demande auraient été acquises grâce à un acte punissable au regard du droit suisse, à savoir l'achat illégal par le Land allemand de Rhénanie du Nord-Westphalie d'un CD de données. Selon eux,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5.3.1</w:t>
      </w:r>
    </w:p>
    <w:p>
      <w:r>
        <w:t>Dans un troisième grief, les recourants avancent que le principe de spécialité ne serait pas respecté dans le cas d'espèce. A l'appui de leur grief, ils arguent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recourants précisent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des recourants tendant au constat de la nullité de la décision attaquée au motif que leur droit d'être entendus aurait été violé dès lors qu'ils n'auraient pas eu accès à toutes les pièces sur lesquelles l'AFC se serait fondée pour rendre la décision du 30 octobre 2020. Les recourants requièrent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eux, ces pièces auraient été utilisées à leur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les recourants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le Tribunal de céans ne saurait considérer que le droit d'être entendus des recourants a été violé, de sorte que la nullité de la décision attaquée n'est pas constatée.</w:t>
      </w:r>
    </w:p>
    <w:p>
      <w:r>
        <w:rPr>
          <w:b/>
        </w:rPr>
        <w:t>E. 6</w:t>
      </w:r>
    </w:p>
    <w:p>
      <w:r>
        <w:t>Les recourants sollicitent (ci-avant, Faits, let. J)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des recourants tendant à la suspension de la procédure jusqu'à l'obtention d'un jugement définitif dans toute procédure pénale ayant trait au complexe de faits de la présente demande (ci-avant, Faits, let. J)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