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A-6139/2019 vom 18. August 2020</w:t>
      </w:r>
    </w:p>
    <w:p>
      <w:r>
        <w:t>Bundesverwaltungsgericht, 2020-08-18, DE</w:t>
      </w:r>
    </w:p>
    <w:p>
      <w:r>
        <w:rPr>
          <w:b/>
        </w:rPr>
        <w:t xml:space="preserve">Quelle: </w:t>
      </w:r>
      <w:r>
        <w:t>https://mcp.opencaselaw.ch/entscheid/bvger_A-6139_2019</w:t>
      </w:r>
    </w:p>
    <w:p>
      <w:r>
        <w:t>FR: TAF A-6139/2019 du 18 août 2020</w:t>
      </w:r>
    </w:p>
    <w:p>
      <w:r>
        <w:t>IT: TAF A-6139/2019 del 18 agosto 2020</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ZG). Das Verfahren richtet sich - soweit das VGG nichts anderes bestimmt - nach den Vorschriften des VwVG (Art. 37 VGG).</w:t>
      </w:r>
    </w:p>
    <w:p>
      <w:r>
        <w:rPr>
          <w:b/>
        </w:rPr>
        <w:t>E. 1.2</w:t>
      </w:r>
    </w:p>
    <w:p>
      <w:r>
        <w:t>Die Beschwerdeführerin ist Adressatin des angefochtenen Entscheids, hat am vorinstanzlichen Verfahren teilgenommen und ist durch die Veranlagungsverfügung vom 10. Oktober 2019 beschwert. Sie ist zur Beschwerdeerhebung legitimiert (Art. 48 Abs. 1 VwVG). Die Beschwerde wurde form- und fristgerecht eingereicht (Art. 50 Abs. 1 sowie Art. 52 Abs. 1 VwVG). Auf die Beschwerde ist einzutreten.</w:t>
      </w:r>
    </w:p>
    <w:p>
      <w:r>
        <w:rPr>
          <w:b/>
        </w:rPr>
        <w:t>E. 1.3</w:t>
      </w:r>
    </w:p>
    <w:p>
      <w:r>
        <w:t>Das Bundesverwaltungsgericht kann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(Art. 62 Abs. 4 VwVG; André Moser/Michael Beusch/Lorenz Kneubühler, Prozessieren vor dem Bundesverwaltungsgericht, 2. Aufl. 2013, Rz. 1.49 ff.; Pierre Moor/Etienne Poltier, Droit administratif, Bd. II, 3. Aufl. 2011, S. 292 ff., 300 f., 820 f., Ziff. 2.2.6.3, 2.2.6.5 und 5.8.3.5).</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Für Waren, welche zur Bearbeitung, Verarbeitung oder Ausbesserung vorübergehend ins Zollgebiet verbracht werden, gewährt die EZV im Rahmen des Zollverfahrens der aktiven Veredelung eine Zollermässigung oder Zollbefreiung, sofern keine überwiegenden öffentlichen Interessen entgegenstehen (vgl. Art. 12 Abs. 1 ZG). Die entsprechenden Einfuhren sind auch von der Einfuhrsteuer befreit (vgl. Art. 53 Abs. 1 Bst. i MWSTG). Art. 59 ZG regelt das Verfahren der aktiven Veredelung genauer. Weitere Bestimmungen sind den Art. 165 ff. der Zollverordnung vom 1. November 2006 (ZV, SR 631.01) zu entnehmen.</w:t>
      </w:r>
    </w:p>
    <w:p>
      <w:r>
        <w:rPr>
          <w:b/>
        </w:rPr>
        <w:t>E. 2.2.2</w:t>
      </w:r>
    </w:p>
    <w:p>
      <w:r>
        <w:t>Wer das Verfahren der aktiven Veredelung beanspruchen will, bedarf dafür einer Bewilligung der EZV (Art. 59 Abs. 2 ZG). Die Bewilligung wird von der EZV namentlich erteilt, wenn die in Art. 165 ZV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(Urteile des BVGer A-6635/2018 vom 7. Januar 2020 E. 3.2.2, A-7140/2017 vom 21. November 2018 E. 2.2.2, A-8109/2015 vom 18. Oktober 2016 E. 2.2, A-510/2011 et al. vom 14. August 2012 E. 2.4; Ivo Gut, in: Kocher/Clavadetscher [Hrsg.], Stämpflis Handkommentar zum Zollgesetz [ZG], 2009 [nachfolgend: Zollkommentar], Art. 59 N. 4).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(Urteile des BVGer A-6635/2018 vom 7. Januar 2020 E. 3.2.2, A-7140/2017 vom 21. November 2018 E. 2.2.2, A-8109/2015 vom 18. Oktober 2016 E. 2.2, A-510/2011 vom 14. August 2012 E. 2.4).</w:t>
      </w:r>
    </w:p>
    <w:p>
      <w:r>
        <w:rPr>
          <w:b/>
        </w:rPr>
        <w:t>E. 2.2.3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w:t>
      </w:r>
    </w:p>
    <w:p>
      <w:r>
        <w:rPr>
          <w:b/>
        </w:rPr>
        <w:t>E. 2.2.4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Urteile des BVGer A-6635/2018 vom 7. Januar 2020 E. 3.2.4, A-7140/2017 vom 21. November 2018 E. 2.2.4, A-8109/2015 vom 18. Oktober 2016 E. 2.3, A-510/2011 vom 14. August 2012 E. 2.6). Art. 59 Abs. 4 ZG lautet: «Wird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vgl. BGE 143 II 646 E. 3.3.3; Barbara Schmid, in: Zollkommentar, Art. 18 N. 4).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Zu den wählbaren Zollverfahren zählt unter anderem das Verfahren der aktiven Veredelung (Art. 47 Abs. 2 Bst. e ZG; zum Ganzen: Urteile des BVGer A-6635/2018 vom 7. Januar 2020 E. 3.3, A-7140/2017 vom 21. November 2018 E. 2.3, vgl. auch A-6992/2010 vom 12. Juli 2012 E. 3.4). Mangels anderweitiger Regelung im MWSTG gelten die Mitwirkungs- und Sorgfaltspflichten des Zollverfahrens auch für die Erhebung der Mehrwertsteuer auf der Einfuhr von Gegenständen (vgl. Art. 50 MWSTG; siehe dazu Urteile des BVGer BVGer A-6635/2018 vom 7. Januar 2020 E. 3.3, A-7140/2017 vom 21. November 2018 E. 2.3).</w:t>
      </w:r>
    </w:p>
    <w:p>
      <w:r>
        <w:rPr>
          <w:b/>
        </w:rPr>
        <w:t>E. 3.1</w:t>
      </w:r>
    </w:p>
    <w:p>
      <w:r>
        <w:t>Umstritten ist vorliegend einzig, auf welche Frist sich Art. 59 Abs. 4 Satz 2 ZG bezieht («nach Ablauf der festgesetzten Frist»; E. 2.2.4). Die Vorinstanz hält dafür, dass es sich um die Ausfuhrfrist handelt. Trifft dies zu, waren die 60 Tage, innerhalb derer gemäss Art. 59 Abs. 4 ZG ein nachträgliches Gesuch um definitive Zollbefreiung zu stellen ist, bereits abgelaufen, als die Beschwerdeführerin ihre Abrechnung einreichte. Die Beschwerdeführerin hingegen bringt vor, Art. 59 Abs. 4 Satz 2 ZG müsse sich auf die Abrechnungsfrist beziehen, weil sonst der Regelung keine eigenständige Bedeutung zukommen könne. Wenn diese Auffassung zutrifft, waren zumindest einige der Fristen noch nicht abgelaufen.</w:t>
      </w:r>
    </w:p>
    <w:p>
      <w:r>
        <w:rPr>
          <w:b/>
        </w:rPr>
        <w:t>E. 3.2</w:t>
      </w:r>
    </w:p>
    <w:p>
      <w:r>
        <w:t>Das Bundesgericht hat diese Frage in BGE 143 II 646 (insb. E. 3.3.6 f.), auf den die Beschwerdeführerin selbst verweist, entschieden. Es kam zum Schluss, dass die Ausfuhrfrist gemeint ist. Weder die Abrechnungsfrist noch das Datum der konkreten Ausfuhr seien relevant.</w:t>
      </w:r>
    </w:p>
    <w:p>
      <w:r>
        <w:rPr>
          <w:b/>
        </w:rPr>
        <w:t>E. 3.3</w:t>
      </w:r>
    </w:p>
    <w:p>
      <w:r>
        <w:t>Es sind keine Gründe ersichtlich, die ein Abweichen von dieser erst kürzlich ergangenen höchstrichterlichen Rechtsprechung als notwendig erscheinen lassen würden. Insbesondere vermag das Vorbringen der Beschwerdeführerin, im konkreten Fall bestehe für Art. 59 Abs. 4 ZG keine eigenständige Anwendung mehr, nichts daran zu ändern. Mit Hinweis auf das genannte Urteil des Bundesgerichts erübrigt es sich, auf die weiteren Vorbringen der Beschwerdeführerin einzugehen.</w:t>
      </w:r>
    </w:p>
    <w:p>
      <w:r>
        <w:rPr>
          <w:b/>
        </w:rPr>
        <w:t>E. 3.4</w:t>
      </w:r>
    </w:p>
    <w:p>
      <w:r>
        <w:t>Die letzte Ausfuhrfrist für die hier umstrittenen Einfuhren verstrich am 11. März 2019 (Tabelle im Sachverhalt Bst. A.c). Selbst unter Berücksichtigung des Friststillstandes lief damit die Frist zur Einreichung eines Gesuchs im Sinne von Art. 59 Abs. 4 ZG für diese Ausfuhr am 27. Mai 2019 ab, wie die Vorinstanz zu Recht festhält. Damit muss auf die Frage, ob der Friststillstand überhaupt zu berücksichtigen wäre, nicht eingegangen werden, weil die Frist auf jeden Fall am 4. Juni 2019 (oder später), als die Beschwerdeführerin den Abrechnungsantrag stellte (Sachverhalt Bst. B), abgelaufen war. Ebenfalls nicht zu klären ist daher, wann der Antrag der Post übergeben wurde. Für früher erfolgte Einfuhren bzw. Wiederausfuhren wurde die Frist erst recht verpasst.</w:t>
      </w:r>
    </w:p>
    <w:p>
      <w:r>
        <w:rPr>
          <w:b/>
        </w:rPr>
        <w:t>E. 3.5</w:t>
      </w:r>
    </w:p>
    <w:p>
      <w:r>
        <w:t>Kurz einzugehen bleibt noch auf das Argument der Beschwerdeführerin, die Ausfuhrfrist sei ihr auf 12 Monate zu verlängern, wie dies üblich sei. Hier ist hingegen mit der Zollverwaltung festzuhalten, dass die Ausfuhrfrist in der der Beschwerdeführerin erteilten Bewilligung festgesetzt ist und jene diese Auflage akzeptiert hat (E. 2.2.2, letzter Absatz). Zwar nicht entscheidwesentlich, aber dennoch erwähnenswert ist in diesem Zusammenhang, dass die Vorinstanz der Beschwerdeführerin gar eine längere Ausfuhrfrist gewährte, als von dieser beantragt worden war (Sachverhalt Bst. A.a). Aus dem Umstand, dass eine am 4. November 2019 ausgestellte Bewilligung eine Ausfuhrfrist von nunmehr 12 Monaten vorsah, kann die Beschwerdeführerin für den vorliegenden Fall nichts zu ihren Gunsten ableiten, wurde doch mit dieser neuen Bewilligung nur ihrem diesbezüglichen Antrag für die konkrete, in der Bewilligung festgehaltene Zeit stattgegeben.</w:t>
      </w:r>
    </w:p>
    <w:p>
      <w:r>
        <w:rPr>
          <w:b/>
        </w:rPr>
        <w:t>E. 3.6</w:t>
      </w:r>
    </w:p>
    <w:p>
      <w:r>
        <w:t>Die Beschwerde ist abzuweisen.</w:t>
      </w:r>
    </w:p>
    <w:p>
      <w:r>
        <w:rPr>
          <w:b/>
        </w:rPr>
        <w:t>E. 4.1</w:t>
      </w:r>
    </w:p>
    <w:p>
      <w:r>
        <w:t>Ausgangsgemäss sind die Verfahrenskosten, die auf Fr. 2'200.--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ebenso wie der Vorinstanz keine Parteientschädigung zuzusprechen (vgl. Art. 64 Abs. 1 VwVG sowie Art. 7 Abs. 1 VGKE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