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A-6131/2007 vom 8. April 2008</w:t>
      </w:r>
    </w:p>
    <w:p>
      <w:r>
        <w:t>Bundesverwaltungsgericht, 2008-04-08, DE</w:t>
      </w:r>
    </w:p>
    <w:p>
      <w:r>
        <w:rPr>
          <w:b/>
        </w:rPr>
        <w:t xml:space="preserve">Quelle: </w:t>
      </w:r>
      <w:r>
        <w:t>https://mcp.opencaselaw.ch/entscheid/bvger_A-6131_2007</w:t>
      </w:r>
    </w:p>
    <w:p>
      <w:r>
        <w:t>FR: TAF A-6131/2007 du 8 avril 2008</w:t>
      </w:r>
    </w:p>
    <w:p>
      <w:r>
        <w:t>IT: TAF A-6131/2007 del 8 aprile 2008</w:t>
      </w:r>
    </w:p>
    <w:p>
      <w:pPr>
        <w:pStyle w:val="Heading2"/>
      </w:pPr>
      <w:r>
        <w:t>Regeste</w:t>
      </w:r>
    </w:p>
    <w:p>
      <w:r>
        <w:t>Hausinstallationen</w:t>
      </w:r>
    </w:p>
    <w:p>
      <w:pPr>
        <w:pStyle w:val="Heading2"/>
      </w:pPr>
      <w:r>
        <w:t>Erwägungen</w:t>
      </w:r>
    </w:p>
    <w:p>
      <w:r>
        <w:rPr>
          <w:b/>
        </w:rPr>
        <w:t>E. 1</w:t>
      </w:r>
    </w:p>
    <w:p>
      <w:r>
        <w:t>Das Bundesverwaltungsgericht ist zur Behandlung von Beschwerden gegen Verfügungen des EStI zuständig (Art. 21 und 23 des Elektrizitätsgesetzes vom 24. Juni 1902 [EleG, SR 734.0] sowie Art. 31 ff. des Verwaltungsgerichtsgesetzes vom 17. Juni 2005 [VGG, SR 173.32]).</w:t>
      </w:r>
    </w:p>
    <w:p>
      <w:r>
        <w:rPr>
          <w:b/>
        </w:rPr>
        <w:t>E. 2</w:t>
      </w:r>
    </w:p>
    <w:p>
      <w:r>
        <w:t>Das Verfahren vor Bundesverwaltungsgericht richtet sich nach dem Bundesgesetz vom 20. Dezember 1968 über das Verwaltungsverfahren (VwVG, SR 172.021), soweit das VGG nichts anderes bestimmt (Art. 37 VGG).</w:t>
      </w:r>
    </w:p>
    <w:p>
      <w:r>
        <w:rPr>
          <w:b/>
        </w:rPr>
        <w:t>E. 3</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 Die Beschwerdeführerin ist als Adressatin der angefochtenen Verfügung ohne Weiteres zur Beschwerde legitimiert.</w:t>
      </w:r>
    </w:p>
    <w:p>
      <w:r>
        <w:rPr>
          <w:b/>
        </w:rPr>
        <w:t>E. 4</w:t>
      </w:r>
    </w:p>
    <w:p>
      <w:r>
        <w:t>Da Eingabeform und -frist gewahrt (Art. 50 und 52 Abs. 1 VwVG) und auch die übrigen Sachurteilsvoraussetzungen erfüllt sind, ist auf die Beschwerde einzutreten.</w:t>
      </w:r>
    </w:p>
    <w:p>
      <w:r>
        <w:rPr>
          <w:b/>
        </w:rPr>
        <w:t>E. 5.1</w:t>
      </w:r>
    </w:p>
    <w:p>
      <w:r>
        <w:t>Gestützt auf Art. 5 Abs. 1 der Verordnung vom 7. November 2001 über elektrische Niederspannungsinstallationen (NIV, SR 734.27) hat der Eigentümer dafür zu sorgen, dass die elektrischen Installationen ständig den gesetzlichen Anforderungen entsprechen. Zu diesem Zweck sieht die NIV unter anderem den periodisch anfallenden Sicherheitsnachweis vor (Art. 36 NIV). Der Eigentümer muss auf Verlangen den entsprechenden Sicherheitsnachweis erbringen (Art. 5 Abs. 1 NIV). Die Durchführung von technischen Kontrollen und die Ausstellung der entsprechenden Sicherheitsnachweise erfolgt von unabhängigen Kontrollorganen und akkreditierten Inspektionsstellen im Auftrag der Eigentümer der elektrischen Installationen (Art. 32 Abs. 1 NIV). Die Netzbetreiberinnen fordern die Eigentümer, deren elektrische Installationen aus ihrem Niederspannungsverteilnetz versorgt werden, mindestens sechs Monate vor Ablauf der Kontrollperiode schriftlich auf, den Sicherheitsnachweis bis zum Ende der Kontrollperiode einzureichen (Art. 36 Abs. 1 NIV). Diese Frist kann bis längstens ein Jahr nach Ablauf der festgelegten Kontrollperiode verlängert werden. Wird der Sicherheitsnachweis trotz zweimaliger Mahnung nicht innerhalb der festgesetzten Frist eingereicht, übergibt die Netzbetreiberin dem EStI die Durchsetzung der periodischen Kontrolle (Art. 36 Abs. 3 NIV). -:- Art. 37 NIV hält die Mindestanforderungen an den Sicherheitsnachweis fest. Danach muss der Sicherheitsnachweis folgende Angaben enthalten: Adresse der Installation und des Eigentümers, Beschreibung der Installation einschliesslich allfälliger Besonderheiten, Kontrollperiode, Name und Adresse des Installateurs, Ergebnisse der betriebsinternen Schlusskontrolle nach Art. 24 NIV sowie, im Falle von periodischen Kontrollen, Name und Adresse des Inhabers der Kontrollbewilligung und Ergebnis seiner Kontrolle. Der Sicherheitsnachweis muss von der Person, welche die Kontrolle durchgeführt hat, und vom Inhaber der Installationsbewilligung sowie gegebenenfalls vom Inhaber der Kontrollbewilligung unterzeichnet werden (Art. 37 Abs. 2 NIV).</w:t>
      </w:r>
    </w:p>
    <w:p>
      <w:r>
        <w:rPr>
          <w:b/>
        </w:rPr>
        <w:t>E. 5.2</w:t>
      </w:r>
    </w:p>
    <w:p>
      <w:r>
        <w:t>Die Beschwerdeführerin hält fest, der Netzbetreiberin am 11. Januar 2007 das "Abnahmeprotokoll für Elektroinstallationen" zugestellt zu haben. Sie macht somit sinngemäss geltend, innerhalb der ihr von der Vorinstanz mit Schreiben vom 14. November 2006 gesetzten Frist einen Sicherheitsnachweis eingereicht zu haben. Demgegenüber führt die Vorinstanz aus, das fragliche Schriftstück beinhalte lediglich die Mängel, die anlässlich der periodischen Kontrolle der elektrischen Installationen vom 17. Januar 2006 festgestellt worden seien. Es stelle jedoch keinen Sicherheitsnachweis entsprechend den gesetzlichen Vorgaben dar. Vielmehr sei der Sicherheitsnachweis, datiert vom 2. Oktober 2007, der Netzbetreiberin erst am 5. Oktober 2007 zugestellt worden, zu einem Zeitpunkt, als die angefochtene Verfügung bereits erlassen worden sei. Weshalb die Ausstellung des Sicherheitsnachweises so lange gebraucht habe, brauche nicht näher untersucht zu werden. Für die Einhaltung der von der Netzbetreiberin sowie von der Vorinstanz gesetzten Fristen sei jedenfalls der Eigentümer der elektrischen Installation verantwortlich.</w:t>
      </w:r>
    </w:p>
    <w:p>
      <w:r>
        <w:rPr>
          <w:b/>
        </w:rPr>
        <w:t>E. 5.3</w:t>
      </w:r>
    </w:p>
    <w:p>
      <w:r>
        <w:t>Den Nachweis über den korrekten Zustand der elektrischen Installationen zu erbringen, ist Aufgabe und Pflicht des Eigentümers (vgl. Art. 5 Abs. 1 zweiter Satz i.V.m. Art. 36 Abs. 1 NIV). Das Gesetz umschreibt dabei genau, welche Anforderungen an einen Sicherheitsnachweis gestellt werden (vgl. Art. 37 Abs. 1 und 2 NIV; oben E. 5.1). Das von der Beschwerdeführerin eingereichte Schriftstück erfüllt diese Voraussetzungen in keiner Weise. Es fehlen die Adresse des Eigentümers, die Beschreibung der Installation und allfälliger Besonderheiten, die Kontrollperiode sowie Name und Adresse des Inhabers der Kontrollbewilligung und das Ergebnis seiner Kontrolle. Zudem mangelt es an den notwendigen Unterschriften. Das eingereichte Schriftstück stellt somit keinen periodischen Sicherheitsnachweis im Sinne der NIV dar; vielmehr handelt es sich lediglich um eine Mängelliste, die anlässlich der periodischen Kontrolle der elektrischen Installationen vom 17. Januar 2006 erstellt und nach Behebung der Mängel durch einen Elektroinstallateur am 28. Dezember 2006 unterzeichnet worden ist. Nachdem die Beschwerdeführerin die Frist bis zum 14. Februar 2007 zur Eingabe des Sicherheitsnachweises ungenutzt hatte verstreichen lassen, sah sich die Vorinstanz gezwungen, die angedrohte, gebührenpflichtige Verfügung am 15. August 2007 zu erlassen. Ein Sicherheitsnachweis gemäss Art. 37 NIV wurde erst danach, am 2. Oktober 2007, ausgestellt und der Netzbetreiberin am 5. Oktober 2007 übermittelt. Die Beschwerdeführerin hat somit ihre Pflicht als Eigentümerin zur rechtzeitigen Beibringung eines Sicherheitsnachweises trotz mehrfacher Ermahnungen verletzt, weshalb die Vorinstanz ihre Verfügung zu Recht erliess.</w:t>
      </w:r>
    </w:p>
    <w:p>
      <w:r>
        <w:rPr>
          <w:b/>
        </w:rPr>
        <w:t>E. 6</w:t>
      </w:r>
    </w:p>
    <w:p>
      <w:r>
        <w:t>Die Beschwerdeführerin verlangt im Weiteren die Aufhebung der Verwaltungsgebühr der Verfügung. Gemäss Art. 41 NIV erhebt das EStI für Verfügungen nach der NIV Gebühren gemäss Art. 9 und 10 der Verordnung vom 7. Dezember 1992 über das Eidgenössische Starkstrominspektorat (Vo EStI, SR 734.24). Danach betragen die Gebühren für eine Verfügung höchstens Fr. 1'500.-- und richten sich nach dem entstandenen Aufwand (Art. 9 Abs. 1 Vo EStI). Dem EStI kommt innerhalb dieses Gebührenrahmens ein erheblicher Ermessensspielraum zu. Die hier verlangte Gebühr von Fr. 400.-- bewegt sich im unteren Bereich der von der Verordnung vorgegebenen Bandbreite. Die Vorinstanz hatte bei der Bearbeitung der Angelegenheit einigen Aufwand zu betreiben, so war das von der Netzbetreiberin überwiesene Dossier zu prüfen, eine Nachfrist anzusetzen, die Einhaltung der Frist zu kontrollieren und schliesslich eine anfechtbare Verfügung auszuarbeiten. In Anbetracht dieses Aufwands erscheinen Fr. 400.-- als angemessen. Die Erhebung der Gebühr ist daher weder im Grundsatz noch in der Höhe zu beanstanden (vgl. Urteil des Bundesverwaltungsgerichts A-2026/2006 vom 19. April 2007 E. 8).</w:t>
      </w:r>
    </w:p>
    <w:p>
      <w:r>
        <w:rPr>
          <w:b/>
        </w:rPr>
        <w:t>E. 7</w:t>
      </w:r>
    </w:p>
    <w:p>
      <w:r>
        <w:t>Zusammenfassend ergibt sich, dass die Vorinstanz die angefochtene Verfügung vom 15. August 2007 zu Recht erlassen hat, da es die Beschwerdeführerin unterlassen hatte, rechtzeitig einen periodischen Sicherheitsnachweis einzureichen. Der Antrag auf Aufhebung der Verwaltungsgebühr erweist sich gestützt auf vorstehende Erwägung ebenfalls als unbegründet. Die Beschwerde ist daher abzuweisen.</w:t>
      </w:r>
    </w:p>
    <w:p>
      <w:r>
        <w:rPr>
          <w:b/>
        </w:rPr>
        <w:t>E. 8</w:t>
      </w:r>
    </w:p>
    <w:p>
      <w:r>
        <w:t>Bei diesem Ausgang des Verfahrens gilt die Beschwerdeführerin als unterliegende Partei und hat die Verfahrenskosten von Fr. 500.-- zu tragen (Art. 63 Abs. 1 VwVG und Art. 1 ff. des Reglements vom 11. Dezember 2006 über die Kosten und Entschädigungen vor dem Bundesverwaltungsgericht [VGKE, SR 173.320.2]). Diese sind mit dem geleisteten Kostenvorschuss in derselben Höhe zu verrechnen.</w:t>
      </w:r>
    </w:p>
    <w:p>
      <w:r>
        <w:rPr>
          <w:b/>
        </w:rPr>
        <w:t>E. 9</w:t>
      </w:r>
    </w:p>
    <w:p>
      <w:r>
        <w:t>Der Beschwerdeführerin als unterliegende Partei steht keine Parteientschädigung zu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