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A-6103/2022 vom 20. Dezember 2023</w:t>
      </w:r>
    </w:p>
    <w:p>
      <w:r>
        <w:t>Bundesverwaltungsgericht, 2023-12-20, DE</w:t>
      </w:r>
    </w:p>
    <w:p>
      <w:r>
        <w:rPr>
          <w:b/>
        </w:rPr>
        <w:t xml:space="preserve">Quelle: </w:t>
      </w:r>
      <w:r>
        <w:t>https://mcp.opencaselaw.ch/entscheid/bvger_A-6103_2022</w:t>
      </w:r>
    </w:p>
    <w:p>
      <w:r>
        <w:t>FR: TAF A-6103/2022 du 20 décembre 2023</w:t>
      </w:r>
    </w:p>
    <w:p>
      <w:r>
        <w:t>IT: TAF A-6103/2022 del 20 dicembre 2023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1.2</w:t>
      </w:r>
    </w:p>
    <w:p>
      <w:r>
        <w:t>Die Beschwerdeführerin erfüllt als Verfügungsadressatin und Person, über die Informationen verlangt werden, die Voraussetzungen der Beschwerdebefugnis nach Art. 19 Abs. 2 StAhiG i.V.m. Art. 48 Abs. 1 VwVG. Die Beschwerde wurde zudem form- und fristgerecht eingereicht (vgl. Art. 50 Abs. 1 und Art. 52 Abs. 1 VwVG, je in Verbindung mit Art. 19 Abs. 5 StAhiG). Auf die Beschwerde ist somit einzutreten.</w:t>
      </w:r>
    </w:p>
    <w:p>
      <w:r>
        <w:rPr>
          <w:b/>
        </w:rPr>
        <w:t>E. 2.1</w:t>
      </w:r>
    </w:p>
    <w:p>
      <w:r>
        <w:t>Staatsvertragliche Grundlage für die Leistung von Amtshilfe in Steuersachen gegenüber Polen ist vorliegend Art. 25a DBA CH-PL. Gemäss dessen Absatz 1 tauschen die zuständigen Behörden der Vertragsstaaten die Informationen aus, die für die Durchführung dieses Abkommens oder die Verwaltung oder den Vollzug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dabei durch Artikel 1 und 2 DBA CH-PL nicht eingeschränkt.</w:t>
      </w:r>
    </w:p>
    <w:p>
      <w:r>
        <w:rPr>
          <w:b/>
        </w:rPr>
        <w:t>E. 2.2</w:t>
      </w:r>
    </w:p>
    <w:p>
      <w:r>
        <w:t>Gemäss Ziff. 7 Bst. d des Protokolls zum DBA CH-PL (in der Fassung gemäss Art. XI des Protokolls vom 20. April 2010, in Kraft seit 17. Oktober 2011 [AS 2011 4893]) besteht Einvernehmen darüber, dass Art. 25a DBA CH-PL die Vertragsstaaten nicht dazu verpflichtet, Informationen auf automatischer oder spontaner Basis auszutauschen.</w:t>
      </w:r>
    </w:p>
    <w:p>
      <w:r>
        <w:rPr>
          <w:b/>
        </w:rPr>
        <w:t>E. 2.3</w:t>
      </w:r>
    </w:p>
    <w:p>
      <w:r>
        <w:t>Zieht eine Behörde das Amtshilfeersuchen während des laufenden Verfahrens zurück, mangelt es an einer Voraussetzung für die Leistung von Amtshilfe gestützt auf ein Ersuchen. Abgesehen davon tut die Behörde damit auch ihre Ansicht kund, dass die Informationen, um die ersucht wurde, nicht (mehr) voraussichtlich erheblich sind (vgl. Urteil des BVGer A-5743/2016 vom 29. März 2017 E. 2.2; Abschreibungsentscheid des BVGer A-1644/2020 vom 24. Mai 2022 E. 3.2.2).</w:t>
      </w:r>
    </w:p>
    <w:p>
      <w:r>
        <w:rPr>
          <w:b/>
        </w:rPr>
        <w:t>E. 3.1</w:t>
      </w:r>
    </w:p>
    <w:p>
      <w:r>
        <w:t>Mit Schreiben vom 14. September 2023 hat die ersuchende Behörde der ESTV mitgeteilt, dass das Amtshilfeersuchen vom 12. September 2022 zurückgezogen werde und dass das Verfahren als abgeschlossen zu betrachten sei (vgl. Sachverhalt Bst. E.b). Demnach mangelt es nunmehr an einer Voraussetzung für die Leistung von Amtshilfe auf Ersuchen. Zudem erscheinen die Informationen als nicht (mehr) erheblich (E. 2.3).</w:t>
      </w:r>
    </w:p>
    <w:p>
      <w:r>
        <w:rPr>
          <w:b/>
        </w:rPr>
        <w:t>E. 3.2</w:t>
      </w:r>
    </w:p>
    <w:p>
      <w:r>
        <w:t>Da die ESTV ihre Schlussverfügung vom 2. Dezember 2022 nicht in Wiedererwägung gezogen hat (vgl. Art. 58 Abs. 1 und 2 VwVG), ist das Verfahren nicht gegenstandslos geworden. Eine Verfahrenserledigung durch Abschreibung kommt damit nicht in Betracht, besteht die angefochtene Verfügung doch immer noch (vgl. Urteile des BVGer A-5743/2016 vom 29. März 2017 E. 3.2; A-211/2016 vom 7. Juli 2016 E. 4).</w:t>
      </w:r>
    </w:p>
    <w:p>
      <w:r>
        <w:rPr>
          <w:b/>
        </w:rPr>
        <w:t>E. 3.3</w:t>
      </w:r>
    </w:p>
    <w:p>
      <w:r>
        <w:t>Nach dem Gesagten darf aber vorliegend keine Amtshilfe geleistet werden (E. 3.1). Die Beschwerde ist somit gutzuheissen und die angefochtene Schlussverfügung ist aufzuheben.</w:t>
      </w:r>
    </w:p>
    <w:p>
      <w:r>
        <w:rPr>
          <w:b/>
        </w:rPr>
        <w:t>E. 4.1</w:t>
      </w:r>
    </w:p>
    <w:p>
      <w:r>
        <w:t>Bei diesem Verfahrensausgang sind weder der obsiegenden Beschwerdeführerin noch der Vorinstanz Verfahrenskosten aufzuerlegen (Art. 63 Abs. 1 e contrario und Abs. 2 VwVG). Der einbezahlte Kostenvorschuss in der Höhe von Fr. 2'500.- ist der Beschwerdeführerin nach Eintritt der Rechtskraft des vorliegenden Urteils zurückzuerstatten.</w:t>
      </w:r>
    </w:p>
    <w:p>
      <w:r>
        <w:rPr>
          <w:b/>
        </w:rPr>
        <w:t>E. 4.2.1.1</w:t>
      </w:r>
    </w:p>
    <w:p>
      <w:r>
        <w:t>Die obsiegende, anwaltlich vertretene Beschwerdeführerin hat Anspruch auf eine Parteientschädigung zu Lasten der Vorinstanz (Art. 64 Abs. 1 VwVG i.V.m. Art. 7 ff. des Reglements über die Kosten und Entschädigungen vor dem Bundesverwaltungsgericht [VGKE, SR 173.320.2]). Die Parteientschädigung umfasst die Kosten der Vertretung sowie allfällige weitere notwendige Auslagen der Partei (Art. 8 Abs. 1 VGKE).</w:t>
      </w:r>
    </w:p>
    <w:p>
      <w:r>
        <w:rPr>
          <w:b/>
        </w:rPr>
        <w:t>E. 4.2.1.2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A-2877/2020 vom 11. November 2020 E. 6.2.2; A-2121/2017 vom 21. April 2017; A-3112/2015 vom 22. Oktober 2015 E. 6.2).</w:t>
      </w:r>
    </w:p>
    <w:p>
      <w:r>
        <w:rPr>
          <w:b/>
        </w:rPr>
        <w:t>E. 4.2.2.1</w:t>
      </w:r>
    </w:p>
    <w:p>
      <w:r>
        <w:t>Die Beschwerdeführerin hat eine Kostennote über Fr. 20'000.- für das vorliegende und drei parallele Beschwerdeverfahren (A-6088/2022, A-6101/2022 und A-6102/2022) eingereicht. Sie macht geltend, die Kosten für das vorliegende Beschwerdeverfahren würden Fr. 5'000.- betragen. Der Kostennote sind weder der angewandte Tarif noch der Zeitaufwand oder eine Aufschlüsselung auf einzelne Arbeiten zu entnehmen. Für das Bundesverwaltungsgericht ist damit nicht nachvollziehbar, ob der geltend gemachte Aufwand entschädigungsberechtigt ist. Die Entschädigung ist demnach aufgrund der Akten und nach freiem gerichtlichem Ermessen zu bestimmen (vgl. E. 4.2.1.2).</w:t>
      </w:r>
    </w:p>
    <w:p>
      <w:r>
        <w:rPr>
          <w:b/>
        </w:rPr>
        <w:t>E. 4.2.2.2</w:t>
      </w:r>
    </w:p>
    <w:p>
      <w:r>
        <w:t>Die angefochtene Schlussverfügung umfasst 10 Seiten und wirft keine besonders komplexen rechtlichen Fragen auf. Die Beschwerdeführerin hat überdies keine Replik zur Vernehmlassung der Vorinstanz eingereicht. Praxisgemäss ist die Parteientschädigung auf Fr. 3'750.- festzusetzen.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