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A-6079/2019 vom 8. September 2021</w:t>
      </w:r>
    </w:p>
    <w:p>
      <w:r>
        <w:t>Bundesverwaltungsgericht, 2021-09-08, DE</w:t>
      </w:r>
    </w:p>
    <w:p>
      <w:r>
        <w:rPr>
          <w:b/>
        </w:rPr>
        <w:t xml:space="preserve">Quelle: </w:t>
      </w:r>
      <w:r>
        <w:t>https://mcp.opencaselaw.ch/entscheid/bvger_A-6079_2019</w:t>
      </w:r>
    </w:p>
    <w:p>
      <w:r>
        <w:t>FR: TAF A-6079/2019 du 8 septembre 2021</w:t>
      </w:r>
    </w:p>
    <w:p>
      <w:r>
        <w:t>IT: TAF A-6079/2019 del 8 settembre 2021</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Bundesgesetz vom 28. September 2012 über die internationale Amtshilfe in Steuersachen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VGG). Zusammen mit der Schlussverfügung anfechtbar ist auch jede der Schlussverfügung vorangehende Verfügung (Art. 19 Abs. 1 StAhiG), folglich auch die hier mitangefochtene Editionsverfügung. Das Verfahren vor dem Bundesverwaltungsgericht richtet sich nach dem VwVG, soweit das VGG nichts anderes bestimmt (Art. 37 VGG). Beschwerdeberechtigt sind gemäss Art. 19 Abs. 2 StAhiG die betroffene Person und weitere Personen unter den Voraussetzungen von Art. 48 VwVG. Die Beschwerdeführerin, die sich im vorinstanzlichen Verfahren der Übermittlung der bei ihr edierten und ihre eigene Geschäftstätigkeit betreffenden, ungeschwärzten Informationen widersetzt hat, ist durch den angefochtenen Entscheid besonders berührt und hat ein schutzwürdiges Interesse an dessen Aufhebung sowie insbesondere daran, die korrekte Anwendung von Art. 4 Abs. 3 StAhiG überprüfen zu lassen. Sie ist praxisgemäss beschwerdelegitimiert (vgl. zum Ganzen: BGE 143 II 506 E. 5; Urteil des BGer 2C_537/2019 vom 13. Juli 2020 E. 4 [nicht publiziert in BGE 147 II 13]; Urteil des BVGer A-1315/2019 vom 17. September 2019 E. 1.2 [vom BGer mit Urteil 2C_820/2019 vom 13. Juli 2020 bestätigt]). Auf die im Übrigen frist- und formgerecht (vgl. Art. 50 Abs. 1 und Art. 52 Abs. 1 VwVG) eingereichte Beschwerde ist einzutreten.</w:t>
      </w:r>
    </w:p>
    <w:p>
      <w:r>
        <w:rPr>
          <w:b/>
        </w:rPr>
        <w:t>E. 1.3</w:t>
      </w:r>
    </w:p>
    <w:p>
      <w:r>
        <w:t>Die Vorinstanz beantragt in prozessualer Hinsicht, das vorliegende Verfahren sei mit dem unter separater Geschäftsnummer (A-6074/2019) geführten Parallelverfahren betreffend die Beschwerde von X._______ zu vereinigen. Die Frage der Vereinigung von Verfahren steht im Ermessen des Gerichts und hängt mit dem Grundsatz der Prozessökonomie zusammen, wonach ein Verfahren im Interesse aller Beteiligten möglichst einfach, rasch und zweckmässig zum Abschluss gebracht werden soll (statt vieler: Urteile des BVGer A-4876/2019 und A-4877/2019 vom 27. Oktober 2020 E. 1.1, A-4544/2019 und A-4545/2019 vom 5. Mai 2020 E. 1.1.1). In der angefochtenen Schlussverfügung vom 15. Oktober 2019 wird im Rubrum nur die Beschwerdeführerin (als beschwerdeberechtigte Person) genannt. Gleichentags erliess die Vorinstanz in gleicher Sache auch eine (zwischenzeitlich angefochtene) Schlussverfügung gegenüber X._______ (als formell betroffene Person). Die separate Eröffnung von Schlussverfügungen an die in ein Amtshilfeverfahren involvierten Personen entspricht dem in Art. 17 Abs. 1 StAhiG vorgesehenen Vorgehen und liegt in allfälligen gegenseitigen Geheimhaltungsinteressen begründet (Urteil des BVGer A-3764/2015 vom 15. September 2015 E. 3.3). Zwar liegt den beiden Schlussverfügungen dasselbe Amtshilfeersuchen zugrunde und es stellen sich im Wesentlichen dieselben rechtlichen Fragen. Allerdings hat vorliegend weder der die Beschwerdeführerin noch die formell betroffene Person einer Verfahrensvereinigung zugestimmt. Erstere lehnte eine Verfahrensvereinigung ab, weil sie mit der formell betroffenen Person nicht identisch und ihre Interessen nicht gleichgerichtet seien. Dieser Einwand ist nachvollziehbar, zumal die Frage der Beziehungsnähe zwischen der formell betroffenen Person und der Beschwerdeführerin, die auch von verschiedenen Rechtsanwälten vertreten werden, im Amtshilfeverfahren gerade umstritten ist. Der Antrag der Vorinstanz auf Verfahrensvereinigung ist abzuweisen.</w:t>
      </w:r>
    </w:p>
    <w:p>
      <w:r>
        <w:rPr>
          <w:b/>
        </w:rPr>
        <w:t>E. 1.4</w:t>
      </w:r>
    </w:p>
    <w:p>
      <w:r>
        <w:t>Im Verfahren vor Bundesverwaltungsgericht können tatsächliche Noven vorgebracht werden und sind selbst verspätete Parteivorbringen zu berücksichtigen, wenn sie ausschlaggebend erscheinen (vgl. Art. 32 Abs. 2 VwVG; Moser/Beusch/Kneubühler, Prozessieren vor dem Bundesverwaltungsgericht, 2. Aufl. 2013, Rz. 2.204 und 2.206). Der prozessuale Einwand der Beschwerdeführerin, wonach die vom CLO übermittelte Ergänzung des Amtshilfeersuchens samt Beilagen, die dem Gericht am 7. Mai 2020 von der Vorinstanz eingereicht wurde, als verspätet aus dem Recht zu weisen sei (vgl. Sachverhalt Bst. I und J), erweist sich damit als unbegründet.</w:t>
      </w:r>
    </w:p>
    <w:p>
      <w:r>
        <w:rPr>
          <w:b/>
        </w:rPr>
        <w:t>E. 1.5</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Gemäss der Amtshilfeklausel von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wonach das Abkommen (nur) für in einem Vertragsstaat oder in beiden Vertragsstaaten ansässige Personen gilt, beschränkt. Zu den unter das Abkommen fallenden Steuern zählt namentlich die Einkommenssteuer in Österreich (vgl. Art. 2 DBA CH-AT, insbesondere Abs. 3 Ziff. 1 Bst. a). Nach Art. 26 Abs. 3 DBA CH-AT sind die Absätze 1 und 2 - vorbehältlich des hier nicht einschlägigen Art. 26 Abs. 5 DBA CH-AT -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Sodann besteht auch keine Verpflichtung zur Erteilung von Informationen, die ein Handels-, Geschäfts-, Industrie-, Gewerbe- oder Berufsgeheimnis oder ein Geschäftsverfahren preisgeben würden oder deren Erteilung dem Ordre Public widerspräche (Bst. c).</w:t>
      </w:r>
    </w:p>
    <w:p>
      <w:r>
        <w:rPr>
          <w:b/>
        </w:rPr>
        <w:t>E. 2.2</w:t>
      </w:r>
    </w:p>
    <w:p>
      <w:r>
        <w:t>Im Zusammenhang mit Art. 26 DBA CH-AT ist sodann das zugehörige Schlussprotokoll (eingefügt durch Art. VIII des Protokolls vom 21. März 2006, von der Bundesversammlung genehmigt am 6. Oktober 2006 [AS 2007 1253 1251; BBl 2006 5155]; ebenfalls unter SR 0.672.916.31) zu beachten:</w:t>
      </w:r>
    </w:p>
    <w:p>
      <w:r>
        <w:rPr>
          <w:b/>
        </w:rPr>
        <w:t>E. 2.2.1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2.2.1.1</w:t>
      </w:r>
    </w:p>
    <w:p>
      <w:r>
        <w:t>Was unter den «üblichen Mitteln» zu verstehen ist, wird im DBA CH-AT nicht weiter definiert. Gemäss Auslegung der fraglichen Bestimmung nach völkerrechtlichen Regeln ergibt sich, dass nicht das Ausschöpfen sämtlicher möglicher Mittel verlangt wird (statt vieler: Urteile des BVGer A-7164/2018 vom 20. Mai 2019 E. 2.5, A-3555/2018 vom 11. Januar 2019 E. 3.2.1, A-4414/2014 vom 8. Dezember 2014 E. 3.1.1; vgl. ferner Urteil des BGer 2C_493/2019 vom 17. August 2020 E. 5.1 ff.).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 des BVGer A-3716/2015 vom 16. Februar 2016 E. 3.3.1). Allerdings muss der ersuchende Staat seine innerstaatlichen Mittel zumindest soweit in Anspruch nehmen, bis er das Ermittlungsobjekt genügend präzisiert hat (Urteile des BVGer A-7164/2018 vom 20. Mai 2019 E. 2.5, A-140/2019 vom 13. Mai 2019 E. 5.1 und A-4414/2014 vom 8. Dezember 2014 E. 3.1.1). Das Subsidiaritätsprinzip soll vermeiden, dass auf den ersuchten Staat die Last überwälzt wird, Auskünfte zu erteilen, welche dem ersuchenden Staat nach innerstaatlichem Recht zugänglich sind (BGE 144 II 206 E. 3.3.1).</w:t>
      </w:r>
    </w:p>
    <w:p>
      <w:r>
        <w:rPr>
          <w:b/>
        </w:rPr>
        <w:t>E. 2.2.1.2</w:t>
      </w:r>
    </w:p>
    <w:p>
      <w:r>
        <w:t>Die Voraussetzung der Ausschöpfung der im innerstaatlichen Steuerverfahren vorgesehenen üblichen Mittel ist insbesondere dann nicht erfüllt, wenn der Steuerpflichtige noch Gelegenheit hat, seine Steuerfaktoren korrekt und spontan zu deklarieren, d.h. wenn ein Ersuchen gestellt wird, bevor die Frist zur Abgabe der Steuererklärung abgelaufen ist (Urteil des BGer 2C_703/2019 vom 16. November 2020 E. 6.4 f.; Urteile des BVGer A-6037/2017 vom 8. Januar 2019 E. 2.7.2, A-4232/2013 vom 17. Dezember 2013 E. 6.3.2.1). Demgegenüber führt der Umstand, dass es der ersuchenden Behörde möglich wäre, eine betroffene Person mittels Zwangsmassnahmen zur Herausgabe der Informationen aufzufordern, nicht dazu, dass (noch) kein Amtshilfeersuchen gestellt werden darf, insbesondere dann, wenn die Person gemäss dem anwendbaren Recht zur Einreichung aller wesentlichen Unterlagen verpflichtet ist (Urteile des BVGer A-2725/2019 vom 25. Februar 2020 E. 2.6.1, A-4414/2014 vom 8. Dezember 2014 E. 4.2.5).</w:t>
      </w:r>
    </w:p>
    <w:p>
      <w:r>
        <w:rPr>
          <w:b/>
        </w:rPr>
        <w:t>E. 2.2.2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2.2.2.1</w:t>
      </w:r>
    </w:p>
    <w:p>
      <w:r>
        <w:t>Als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Ob eine Information erheblich ist, kann in der Regel nur der ersuchende Staat abschliessend feststellen (vgl. BGE 143 II 185 E. 3.3.2, 142 II 161 E. 2.1.1; Urteil des BVGer A-4144/2018 vom 28. Mai 2019 E. 2.1.6). Die Voraussetzung der voraussichtlichen Erheblichkeit ist erfüllt, wenn im Zeitpunkt der Einreichung des Amtshilfeersuchens eine vernünftige Möglichkeit besteht, dass sich die verlangten Informationen als erheblich erweisen werden (BGE 145 II 112 E. 2.2.1, 143 II 185 E. 3.3.2). Keine Rolle spielt, ob sich diese Informationen nach deren Übermittlung für die ersuchende Behörde als nicht erheblich herausstellen (BGE 145 II 112 E. 2.2.1, 142 II 161 E. 2.1.1).</w:t>
      </w:r>
    </w:p>
    <w:p>
      <w:r>
        <w:rPr>
          <w:b/>
        </w:rPr>
        <w:t>E. 2.2.2.2</w:t>
      </w:r>
    </w:p>
    <w:p>
      <w:r>
        <w:t>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144 II 29 E. 4.2.2, 142 II 161 E. 2.1.1; Urteil des BGer 2C_241/2016 vom 7. April 2017 E. 5.2; Urteile des BVGer A-4144/2018 vom 28. Mai 2019 E. 2.1.6; A-846/2018 vom 30. August 2018 E. 2.1.4 mit Hinweisen). Vor diesem Hintergrund darf der ersuchte Staat Auskünfte - mit der Begründung, dass die verlangten Informationen nicht «voraussichtlich erheblich» im Sinne der Amtshilfeklausel seien - nur verweigern, wenn ein Zusammenhang zwischen den verlangten Angaben und der im ersuchenden Staat durchgeführten Untersuchung wenig wahrscheinlich erscheint (BGE 143 II 185 E. 3.2.2, 142 II 161 E. 2.1.1; Urteil des BVGer A-5522/2019 vom 18. August 2020 E. 2.3.3).</w:t>
      </w:r>
    </w:p>
    <w:p>
      <w:r>
        <w:rPr>
          <w:b/>
        </w:rPr>
        <w:t>E. 2.2.3</w:t>
      </w:r>
    </w:p>
    <w:p>
      <w:r>
        <w:t>Gemäss Ziff. 2 Bst. c des Schlussprotokolls zum DBA CH-AT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2.3.1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sondern sie muss nur (aber immerhin) hinreichende Verdachtsmomente für dessen Vorliegen dartun (vgl. BGE 139 II 451 E. 2.1 und E. 2.2.1, 139 II 404 E. 7.2.2; Urteile des BVGer A-4163/2019 vom 22. April 2020 E. 3.1.4, A-2540/2017 vom 7. September 2017 E. 4.2, A-2591/2017 vom 5. März 2019 E. 5.3.2.2).</w:t>
      </w:r>
    </w:p>
    <w:p>
      <w:r>
        <w:rPr>
          <w:b/>
        </w:rPr>
        <w:t>E. 2.3.2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w:t>
      </w:r>
    </w:p>
    <w:p>
      <w:r>
        <w:rPr>
          <w:b/>
        </w:rPr>
        <w:t>E. 2.4.1</w:t>
      </w:r>
    </w:p>
    <w:p>
      <w:r>
        <w:t>Nach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Urteile des BVGer A-2981/2019 vom 1. September 2020 E. 2.2.3, A-3791/2017 vom 5. Januar 2018 E. 5.2.2 mit weiteren Hinweisen).</w:t>
      </w:r>
    </w:p>
    <w:p>
      <w:r>
        <w:rPr>
          <w:b/>
        </w:rPr>
        <w:t>E. 2.4.2</w:t>
      </w:r>
    </w:p>
    <w:p>
      <w:r>
        <w:t>Nach dieser Ordnung bzw. der einschlägigen Rechtsprechung sind unter Umständen auch Personen (insbesondere Gesellschaften),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und ist ihre Übermittlung unter Verhältnismässigkeitsgesichtspunkten erforderlich, das heisst, wenn die Aussonderung, Schwärzung oder anderweitige Unkenntlichmachung der Informationen den Zweck des Amtshilfeersuchens vereiteln würde, so sind sie dem ersuchenden Staat zu übermitteln (vgl. ausführlich mit Beispielen: BGE 144 II 29 E. 4.2.3 f.; ferner: BGE 143 II 506 E. 5.2.1; Urteil des BGer 2C_615/2018 vom 26. März 2019 E. 3.1; statt vieler: A-5383/2019 vom 24. November 2020 E. 2.2.4 mit Hinweisen).</w:t>
      </w:r>
    </w:p>
    <w:p>
      <w:r>
        <w:rPr>
          <w:b/>
        </w:rPr>
        <w:t>E. 2.5</w:t>
      </w:r>
    </w:p>
    <w:p>
      <w:r>
        <w:t>Der in Art. 26 Abs. 3 Bst. a und b DBA CH-AT formulierte Vorbehalt des innerstaatlichen Rechts (E. 2.1, zweiter Absatz) bezieht sich, soweit es um die Beschaffung von Informationen in Bezug auf direkte Steuern bei einer in der Schweiz steuerpflichtigen Person geht, auf die Art. 123 bis 129 des Bundesgesetzes vom 14. Dezember 1990 über die direkte Bundessteuer (DBG, SR 642.11; vgl. BGE 142 II 69 E. 4; BVGE 2018 III/4 E. 3.2.1 mit weiteren Hinweisen, vgl. auch Art. 8 Abs. 1 StAhiG). Eine Person, die vom Amtshilfeersuchen nicht formell betroffen ist (wie z.B. ein Geschäftspartner der betroffenen Person), ist - sofern Einkommenssteuern Gegenstand des Amtshilfeersuchens bilden - rechtsprechungsgemäss dann nach Art. 126 DBG umfassend auskunftspflichtig, wenn die betreffenden Informationen ihre eigene Besteuerung beeinflussen könnten (vgl. BGE 142 II 69 E. 5.1; Urteile des BGer 2C_616/2018 vom 9. Juli 2019 E. 4, 2C_954/2015 vom 13. Februar 2017 E. 7.4). Das Vorliegen einer solchen Konstellation wurde vom Bundesgericht unter anderem bei vermuteten verdeckten Gewinnausschüttungen und bei Steuerumgehungstatbeständen bejaht (vgl. BGE 142 II 69 E. 5.1.4; Urteil des BGer 2C_954/2015 vom 13. Februar 2017 E. 7.4; siehe zum Ganzen: Urteil des BVGer A-272/2017 vom 5. Dezember 2017 E. 2.4.2.2).</w:t>
      </w:r>
    </w:p>
    <w:p>
      <w:r>
        <w:rPr>
          <w:b/>
        </w:rPr>
        <w:t>E. 2.6</w:t>
      </w:r>
    </w:p>
    <w:p>
      <w:r>
        <w:t>Wird die Anonymisierung von Daten zu einzelnen Personen verlangt, die in den zu übermittelnden Unterlagen enthalten sind, so ist nach der Rechtsprechung des Bundesverwaltungsgerichts bei jedem einzelnen Aktenstück, das von der Übermittlung ausgeschlossen werden soll, zu bezeichnen und im Einzelnen darzulegen, weshalb dieses im ausländischen Verfahren nicht erheblich sein kann (Urteile des BVGer A-6859/2019 vom 2. Dezember 2020 E. 2.7.4, A-4353/2016 vom 27. Februar 2017 E. 5.2, A-5506/2015 vom 31. Oktober 2016 E. 12.2.6).</w:t>
      </w:r>
    </w:p>
    <w:p>
      <w:r>
        <w:rPr>
          <w:b/>
        </w:rPr>
        <w:t>E. 2.7</w:t>
      </w:r>
    </w:p>
    <w:p>
      <w:r>
        <w:t>Gemäss jüngster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(BGE 146 I 172 E. 7.2 f.; Urteil des BGer 2C_687/2019 vom 13. Juli 2020 E. 6.1 f.). Grundsätzlich seien die Dritten durch das Spezialitätsprinzip vor der Verwendung ihrer Informationen durch den ersuchenden Staat geschützt (vgl. BGE 146 I 172 E. 7.1.3; Urteil des BGer 2C_687/2019 vom 13. Juli 2020 E. 6.1 f.).</w:t>
      </w:r>
    </w:p>
    <w:p>
      <w:r>
        <w:rPr>
          <w:b/>
        </w:rPr>
        <w:t>E. 3</w:t>
      </w:r>
    </w:p>
    <w:p>
      <w:r>
        <w:t>Im vorliegenden Fall macht die Beschwerdeführerin unter verschiedenen Titeln geltend, dass das Amtshilfeersuchen des CLO weder die formellen noch die materiellen Voraussetzungen für die Leistung von Amtshilfe erfülle und entsprechend die vorgesehene Amtshilfeleistung unrechtmässig sei. Nachfolgend wird geprüft, ob das Amtshilfeersuchen den abkommensrechtlichen Vorgaben entspricht bzw. ob die Vorinstanz zu Recht auf das Ersuchen eingetreten ist (E. 3.1). Danach wird auf die Einwände der Beschwerdeführerin betreffend die Editionsverfügung bzw. die innerstaatliche Informationsbeschaffung eingegangen (E. 3.2). Anschliessend wird untersucht, ob die zur Übermittlung vorgesehenen Informationen das Kriterium der voraussichtlichen Erheblichkeit erfüllen (E. 3.3). In E. 3.4 und E 3.5 werden die Frage der Verhältnismässigkeit der Übermittlung von Daten Dritter und die entsprechenden Anonymisierungsanträge behandelt. Abschliessend wird die Frage der Information von Dritten beantwortet (E. 3.6).</w:t>
      </w:r>
    </w:p>
    <w:p>
      <w:r>
        <w:rPr>
          <w:b/>
        </w:rPr>
        <w:t>E. 3.1.1</w:t>
      </w:r>
    </w:p>
    <w:p>
      <w:r>
        <w:t>In Bezug auf die formellen Voraussetzungen des Amtshilfeersuchens ist zu Recht unbestritten, dass dieses die erforderliche Beschreibung der verlangten Informationen enthält, sowie die betroffene Zeitperiode und den Steuerzweck nennt (vgl. E. 2.2.3). Die Beschwerdeführerin beanstandet jedoch, dass die ersuchende Behörde sie und X._______ nicht eindeutig als Informationsinhaberin bzw. betroffene Person gekennzeichnet habe (Beschwerde, Ziff. 2.1.2, 2.1.2.1 und 2.1.3.2). Dieser Einwand ist unbehelflich. Aus dem Amtshilfeersuchen, konkret dem Abschnitt B1 und der Sachverhaltsbeschreibung in Abschnitt B3, ergibt sich klar, dass die Informationsbeschaffung der korrekten Besteuerung von X._______ im ersuchenden Staat dient. X._______ wird als steuerpflichtige Person im ersuchenden Staat mittels Name und Adresse identifiziert. Damit ist das Erfordernis der Identifikation der steuerpflichtigen Person gemäss Ziff. 2 Bst. c des Schlussprotokolls zum DBA CH-AT (vorne E. 2.2.3) ohne Weiteres erfüllt. Auch wird deutlich, dass die A._______ AG als Informationsinhaberin im ersuchten Staat angesehen wird, womit auch diesbezüglich die Erfordernisse gemäss Ziff. 2 Bst. c des Schlussprotokolls zum DBA CH-AT (E. 2.2.3) erfüllt sind. Damit hat die ersuchende Behörde bei der Stellung des Amtshilfebegehrens sämtliche abkommensrechtlich vorgeschriebenen Angaben geliefert. Der Vorwurf der fehlerhaften Darstellung der betroffenen Person bzw. Informationsinhaberin im Ersuchen ist unbegründet.</w:t>
      </w:r>
    </w:p>
    <w:p>
      <w:r>
        <w:rPr>
          <w:b/>
        </w:rPr>
        <w:t>E. 3.1.2</w:t>
      </w:r>
    </w:p>
    <w:p>
      <w:r>
        <w:t>Weiter ist zu untersuchen, ob das Subsidiaritätsprinzip eingehalten wurde (vorne E. 2.2.1). Die Beschwerdeführerin ist der Ansicht, dass die ersuchende Behörde entgegen ihrer Erklärung nicht alle üblichen Informationsquellen ausgeschöpft habe, um die erforderlichen Informationen einzuholen. Dies zeige sich namentlich daran, dass sie die Entsiegelung der im österreichischen Steuerstrafverfahren beschlagnahmten Akten nicht abgewartet habe. Zudem verfüge die ersuchende Behörde aufgrund ihres Zugangs zu den Akten und der Buchhaltung in den Zahnarztpraxen bereits über alle zur Besteuerung notwendigen Informationen (Beschwerde, Ziff. 2.1.2.2 und Ziff. 2.1.3.1, 2.1.3.4).</w:t>
      </w:r>
    </w:p>
    <w:p>
      <w:r>
        <w:rPr>
          <w:b/>
        </w:rPr>
        <w:t>E. 3.1.2.1</w:t>
      </w:r>
    </w:p>
    <w:p>
      <w:r>
        <w:t>Das vorliegende Amtshilfeersuchen wurde zum Zweck der korrekten Einkommenssteuerveranlagung gestellt. Die ersuchende Behörde hegt den Verdacht, dass X._______ seine Umsätze aus zahnärztlicher Tätigkeit nicht vollständig deklariert habe und dass ihm auch gewisse Umsätze der A._______ AG im Zusammenhang mit von ihm erbrachten Zahnbehandlungen steuerrechtlich zuzurechnen seien. Dass die von der A._______ AG durch direkte Rechnungstellung an die Patienten erzielten Umsätze von X._______ weder deklariert noch buchhalterisch erfasst wurden, wird von der Beschwerdeführerin als Tatsachenfeststellung nicht bestritten. Es erscheint daher wenig wahrscheinlich, dass die ersuchende Behörde im Rahmen des innerstaatlichen Verfahrens Zugang zu den vollständigen Belegen betreffend Umsätze der Beschwerdeführerin hätte erhalten können. Folglich kann der ersuchenden Behörde auch nicht angelastet werden, dass sie bestimmte Zwischenergebnisse im innerstaatlichen Verfahren gegen X._______ nicht abwartete, bevor sie ein Amtshilfeersuchen gestellt hat. Selbst wenn die ersuchende Behörde bereits über gewisse Informationen verfügen sollte, bleibt es ihr rechtsprechungsgemäss unbenommen, diese zwecks Abgleichung im Amtshilfeverfahren zu erfragen (vgl. Urteil des BGer 2C_616/2018 vom 9. Juli 2019 E. 9.4.1; Urteil des BVGer A-3791/2017 vom 5. Januar 2018 E. 9.2.3.2; zu diesem sog. Verifikationszweck s. auch: E. 3.3.5).</w:t>
      </w:r>
    </w:p>
    <w:p>
      <w:r>
        <w:rPr>
          <w:b/>
        </w:rPr>
        <w:t>E. 3.1.2.2</w:t>
      </w:r>
    </w:p>
    <w:p>
      <w:r>
        <w:t>Hinzu kommt, dass der blosse Umstand, dass es der ersuchenden Behörde möglich wäre, eine betroffene Person mittels Zwangsmassnahmen zur Herausgabe der Informationen aufzufordern, rechtsprechungsgemäss nicht dazu führt, dass (noch) kein Amtshilfeersuchen gestellt werden darf (E. 2.2.1.2). Mit anderen Worten stellen Zwangsmassnahmen - wie etwa eine Hausdurchsuchung - kein «übliches Mittel» dar, das zwingend vor der Einreichung eines Amtshilfeersuchens ergriffen werde müsste. Ebenso wenig kann dies für die Entsiegelung der - anlässlich einer Hausdurchsuchung sichergestellten - Akten gelten. Im Übrigen besteht vorliegend auch nach Massgabe des völkerrechtlichen Vertrauensprinzips kein Anlass, an den Erklärungen des ersuchenden Staates, wonach das Subsidiaritätsprinzip gewahrt wurde, zu zweifeln (E. 2.3.2). Das Subsidiaritätsprinzip wurde nicht verletzt.</w:t>
      </w:r>
    </w:p>
    <w:p>
      <w:r>
        <w:rPr>
          <w:b/>
        </w:rPr>
        <w:t>E. 3.1.3</w:t>
      </w:r>
    </w:p>
    <w:p>
      <w:r>
        <w:t>Die Beschwerdeführerin ist der Ansicht, die Vorinstanz hätte auf das Ersuchen gemäss Art. 7 StAhiG nicht eintreten dürfen, weil die ersuchende Behörde Informationen über sie (anstatt über X._______) verlangte (Beschwerde, Ziff. 2.1.3.2 in fine). Zudem handle es sich mit Blick auf die Daten zu österreichischen Patienten um ein faktisches Gruppenersuchen und insofern um eine unzulässige Beweisausforschung, eine sog. «fishing expedition» (Beschwerde, Ziff. 2.1.3.5).</w:t>
      </w:r>
    </w:p>
    <w:p>
      <w:r>
        <w:rPr>
          <w:b/>
        </w:rPr>
        <w:t>E. 3.1.3.1</w:t>
      </w:r>
    </w:p>
    <w:p>
      <w:r>
        <w:t>Entgegen der Ansicht der Beschwerdeführerin ist die Leistung von Amtshilfe nicht auf Informationen über die vom Amtshilfeersuchen betroffene Person (hier X._______, vgl. schon E. 3.1.1) beschränkt. Vielmehr sind auch Informationen über Personen, deren Steuerpflicht im ersuchenden Staat nicht geltend gemacht wird, auszutauschen, wenn diese für die korrekte Besteuerung der betroffenen Person voraussichtlich erheblich sind (vorne E. 2.4.2), was später noch geprüft wird (E. 3.3).</w:t>
      </w:r>
    </w:p>
    <w:p>
      <w:r>
        <w:rPr>
          <w:b/>
        </w:rPr>
        <w:t>E. 3.1.3.2</w:t>
      </w:r>
    </w:p>
    <w:p>
      <w:r>
        <w:t>Gemäss den Ausführungen im Amtshilfeersuchen lässt sich vorliegend ein Zusammenhang zwischen der Besteuerung von X._______ und den erfragten Informationen über die Beschwerdeführerin nicht von der Hand weisen: Die ersuchende Behörde legt in ihrem Ersuchen nachvollziehbar dar, dass eine enge geschäftliche Verbindung zwischen der Beschwerdeführerin und X._______ bestand. Weiter äussert sie den Verdacht, dass Letzterer mittels Zwischenschaltung der Beschwerdeführerin Einkünfte verschleiert haben könnte. Von einer unzulässigen Beweisausforschung, welche zu einem Nichteintreten auf das Amtshilfeersuchen führen müsste, kann bei dieser Ausgangslage nicht die Rede sein.</w:t>
      </w:r>
    </w:p>
    <w:p>
      <w:r>
        <w:rPr>
          <w:b/>
        </w:rPr>
        <w:t>E. 3.1.3.3</w:t>
      </w:r>
    </w:p>
    <w:p>
      <w:r>
        <w:t>Auch ein «faktisches Gruppenersuchen» ist nicht zu erkennen. Die Annahme eines Gruppenersuchens würde bedingen, dass die ersuchende Behörde mit dem Amtshilfeersuchen eine Prüfung der Steuersituation der Patienten bezweckt. Dem Amtshilfeersuchen kann solches jedoch nicht entnommen werden. Aus der Vermutung, wonach es sich bei der A._______ AG um eine Scheinfirma handeln könnte, lässt sich nicht die Unterstellung der ersuchenden Behörde ableiten, dass die Patienten Steuern hinterzogen oder Rechnungen mit unversteuerten Geldern bezahlt hätten und ebenso wenig, dass die ersuchende Behörde in Wahrheit an die Daten der Patienten gelangen wollte. Es erschliesst sich dem Gericht auch nicht, inwiefern eine allfällige (mittels Zwischenschaltung der A._______ AG erreichte) Umsatzminderung bei der betroffenen Person gleichzeitig die Einkommenssituation der Patienten tangieren könnte.</w:t>
      </w:r>
    </w:p>
    <w:p>
      <w:r>
        <w:rPr>
          <w:b/>
        </w:rPr>
        <w:t>E. 3.1.4</w:t>
      </w:r>
    </w:p>
    <w:p>
      <w:r>
        <w:t>Nach Ansicht der Beschwerdeführerin hätte die Vorinstanz auf das Amtshilfeersuchen auch deswegen nicht eintreten dürfen, weil ein Verstoss gegen den Grundsatz von Treu und Glauben vorliege (Art. 7 Bst. c StAhiG). Sie bringt sinngemäss vor, die ersuchende Behörde versuche mit dem Amtshilfeersuchen eigentlich einen strafrechtlichen Betrugsverdacht abzuklären. Abgesehen davon, dass der Vorwurf, sie sei eine Scheinfirma mit aller Deutlichkeit zurückzuweisen sei, habe die Übermittlung von Informationen zur Klärung eines Betrugsverdachts in einem Rechtshilfeverfahren zu erfolgen, in welchem strafprozessuale Garantien einzuhalten seien (Beschwerde, Ziff. 2.1.3.3). Ein rechtsmissbräuchliches Vorgehen der ersuchenden Behörde liegt nicht vor. Grundsätzlich hat der ausländische Staat die Wahl, ob er den Amtshilfe- oder den Rechtshilfeweg beschreiten will, wobei die zuständigen Behörden bzw. Justizorgane zu prüfen haben, ob die jeweiligen Voraussetzungen erfüllt sind (BGE 137 II 128 E. 2.3.1 f.; Urteil des BGer 2C_780/2018 vom 1. Februar 2021 E. 3.7.2 in fine). Auch wenn im vorliegenden Amtshilfeersuchen der Begriff der «Scheinfirma» verwendet wird, so geht aus dem Ersuchen doch unmissverständlich hervor, dass der Zweck des Ersuchens in der korrekten Steuerveranlagung der betroffenen Person - gegebenenfalls durch Aufrechnung von zu Unrecht nicht deklarierten Einkünften - liegt. Es handelt sich also um einen Anwendungsfall der «Durchsetzung des innerstaatlichen Rechts betreffend die unter das Abkommen fallenden Steuern» im Sinne von Art. 26 Abs. 1 DBA CH-AT. Folglich ist nicht zu beanstanden, dass die ersuchende Behörde den Amtshilfeweg eingeschlagen hat. Nicht entscheidend ist, ob ihr auch der Rechtshilfeweg offen gestanden hätte.</w:t>
      </w:r>
    </w:p>
    <w:p>
      <w:r>
        <w:rPr>
          <w:b/>
        </w:rPr>
        <w:t>E. 3.1.5</w:t>
      </w:r>
    </w:p>
    <w:p>
      <w:r>
        <w:t>Nach dem Dargelegten erfüllt das Amtshilfeersuchen des CLO die formellen Voraussetzungen und ist die Vorinstanz zu Recht darauf eingetreten.</w:t>
      </w:r>
    </w:p>
    <w:p>
      <w:r>
        <w:rPr>
          <w:b/>
        </w:rPr>
        <w:t>E. 3.2</w:t>
      </w:r>
    </w:p>
    <w:p>
      <w:r>
        <w:t>In einem nächsten Schritt ist zu prüfen, ob die gegenüber der Beschwerdeführerin erlassene Editionsverfügung bzw. die vorliegend erfolgte Informationsbeschaffung rechtmässig war und ob insofern auch die Übermittlung zulässig ist. Insbesondere stellt sich mit Blick auf den in Art. 26 Abs. 3 DBA CH-AT enthaltenen Vorbehalt der Erhältlichkeit von Informationen nach innerstaatlichem Recht, der auch in Art. 8 Abs. 1 StAhiG zum Ausdruck kommt, die Frage, inwieweit die Beschwerdeführerin nach schweizerischem Recht zur Herausgabe von Informationen - auch unter dem Aspekt des Berufsgeheimnisses - verpflichtet war.</w:t>
      </w:r>
    </w:p>
    <w:p>
      <w:r>
        <w:rPr>
          <w:b/>
        </w:rPr>
        <w:t>E. 3.2.1</w:t>
      </w:r>
    </w:p>
    <w:p>
      <w:r>
        <w:t>Die Beschwerdeführerin macht in diesem Zusammenhang erneut geltend, es handle sich bei ihr um eine blosse Informationsinhaberin und Auskünfte über sie selbst seien nicht zu übermitteln (Beschwerde, Ziff. 2.1.5 und 2.2.2.1 in fine). Deren Mitwirkungspflicht beschränke sich gemäss den Art. 127 ff. DBG auf eine Bescheinigungspflicht hinsichtlich Bestand, Höhe und Sicherstellung von Forderungen bzw. über die beiderseitigen Ansprüche und Leistungen (Beschwerde, Ziff. 2.2.2.1 [Rz. 550] und 2.2.2.3.4). Die Vorinstanz geht derweil von einer umfassenden Mitwirkungspflicht der Beschwerdeführerin nach Art. 126 DBG aus (Vernehmlassung, S. 5). Entscheidend für den Umfang der innerstaatlichen Mitwirkungspflicht der Beschwerdeführerin ist gemäss der bundesgerichtlichen Rechtsprechung, ob die ersuchten Informationen geeignet sind, ihre eigene Besteuerungssituation zu beeinflussen, wobei bejahendenfalls von einer umfassenden Mitwirkungspflicht nach Art. 126 DBG auszugehen ist (vorne E. 2.5). Wie erwähnt, hegt die ersuchende Behörde den Verdacht, dass die betroffene Person mithilfe der Beschwerdeführerin die Bemessungsgrundlage für ihre Einkommensbesteuerung verkürzt haben könnte. Eine allfällige Aufrechnung von bisher der Beschwerdeführerin zugeordneten Einkünften bei der betroffenen Person könnte die Steuersituation der Beschwerdeführerin beeinflussen. Folglich ist vorliegend nicht zu beanstanden, dass die Vorinstanz von einer umfassenden innerstaatlichen Mitwirkungspflicht gemäss Art. 126 DBG ausgegangen ist. Die Art. 127 ff. DBG sind nicht anwendbar.</w:t>
      </w:r>
    </w:p>
    <w:p>
      <w:r>
        <w:rPr>
          <w:b/>
        </w:rPr>
        <w:t>E. 3.2.2</w:t>
      </w:r>
    </w:p>
    <w:p>
      <w:r>
        <w:t>Die Beschwerdeführerin wendet ein, sowohl die Bestellscheine als auch die Patientenrechnungen enthielten sensible und besonders schützenswerte Daten über die Zahngesundheit der Patienten. Deren Beschaffung sei der Vorinstanz unter datenschutzrechtlichen Aspekten untersagt (Beschwerde, Ziff. 2.2.2.3.2 f.; Replik, Rz. 52 ff.). Dieser Einwand ist unbegründet. Mit Art. 126 DBG und Art. 8 ff. StAhiG besteht vorliegend eine formell-gesetzliche Grundlage im Sinn von Art. 17 des Bundesgesetzes vom 19. Juni 1992 über den Datenschutz (DSG, SR 235.1) für die Edition von Unterlagen, die für die korrekte Besteuerung eines Steuerpflichtigen relevant sind. Weil das StAhiG sodann als lex specialis dem DSG grundsätzlich vorgeht (vgl. BGE 143 II 506 E. 5.2.2; [angefochtenes] Urteil des BVGer A-5715/2018 vom 3. September 2019 E. 4.6.2 mit weiteren Hinweisen), hindert die Berufung auf das DSG auch die Übermittlung der Daten an den ersuchenden Staat im Grundsatz nicht. In Bezug auf die Zulässigkeit der Informationsübermittlung ist somit vorliegend entscheidend, ob die Vorgaben von Art. 4 Abs. 3 StAhiG erfüllt sind (voraussichtliche Erheblichkeit der zu übermittelnden Informationen und Verhältnismässigkeit). Diese Fragen werden in E. 3.3 f. nachfolgend näher geprüft. Zudem ist davon auszugehen, dass in Österreich eine Gesetzgebung besteht, die einen angemessenen Schutz der Patientendaten gewährleistet, so dass der Informationsübermittlung auch Art. 6 Abs. 1 DSG nicht entgegen steht (vgl. zu dieser Thematik ferner: Urteil des BVGer A-3972/2019 vom 22. März 2021 E. 3.8).</w:t>
      </w:r>
    </w:p>
    <w:p>
      <w:r>
        <w:rPr>
          <w:b/>
        </w:rPr>
        <w:t>E. 3.2.3</w:t>
      </w:r>
    </w:p>
    <w:p>
      <w:r>
        <w:t>Im Zusammenhang mit der innerstaatlichen Informationsbeschaffung stellt sich jedoch bezüglich der Patientendaten die Frage, ob die Mitwirkungspflicht der Beschwerdeführerin durch das Berufsgeheimnis eingeschränkt ist. Sie ist der Ansicht, dass das sowohl in Österreich als auch in der Schweiz geltende Zahnarztgeheimnis der Amtshilfeleistung entgegensteht (Beschwerde, Ziff. 2.3.4).</w:t>
      </w:r>
    </w:p>
    <w:p>
      <w:r>
        <w:rPr>
          <w:b/>
        </w:rPr>
        <w:t>E. 3.2.3.1</w:t>
      </w:r>
    </w:p>
    <w:p>
      <w:r>
        <w:t>Vorab ist festzuhalten, dass sowohl X._______ als Zahnarzt und damit primärer Geheimnisträger als auch die Beschwerdeführerin als editionspflichtige Person von einer allfälligen Verletzung des Berufsgeheimnisses auch in eigenen Interessen betroffen wären, weshalb sie sich darauf berufen können und auf das Vorbringen einzutreten ist. Da sich die innerstaatliche Informationsbeschaffung in der Schweiz einzig nach schweizerischem Recht richtet, bleibt das im österreichischen bzw. europäischen Recht statuierte Berufsgeheimnis unbeachtlich.</w:t>
      </w:r>
    </w:p>
    <w:p>
      <w:r>
        <w:rPr>
          <w:b/>
        </w:rPr>
        <w:t>E. 3.2.3.2</w:t>
      </w:r>
    </w:p>
    <w:p>
      <w:r>
        <w:t>Im Gegensatz zum hier - wie erwähnt (E. 3.2.1) - nicht anwendbaren Art. 127 Abs. 2 DBG, enthält Art. 126 DBG keinen ausdrücklichen Vorbehalt des gesetzlich geschützten Berufsgeheimnisses. Dass dieser Vorbehalt letztlich nicht in Art. 126 DBG aufgenommen wurde, hat der Bundesrat in seiner damaligen Botschaft über die Steuerharmonisierung damit erklärt, es gebe «in eigener Sache kein den Steuerbehörden entgegenzuhaltendes Berufsgeheimnis» (Botschaft vom 25. Mai 1983 zu Bundesgesetzen über die Harmonisierung der direkten Steuern der Kantone und Gemeinden sowie über die direkte Bundessteuer [Botschaft über die Steuerharmonisierung], BBl 1983 III 1, S. 209). Diese gesetzgeberische Überlegung wird im Schrifttum kritisiert und es wird die Ansicht vertreten, das Berufsgeheimnis sei auch im Anwendungsbereich von Art. 126 DBG zu wahren (vgl. Martin Zweifel/Silvia Hunziker, in: Zweifel/Beusch [Hrsg.]: Kommentar zur Schweizerischen Steuerrecht, Bundesgesetz über die direkte Bundessteuer, 3. Aufl. 2017, Art. 126 N. 47 in fine). Davon geht offenbar auch die ESTV in ihrer direktsteuerlichen Verwaltungspraxis aus und sieht vor, dass der Geheimnisträger seine Bücher so führen müsse, dass die Steuerverwaltung Kontrollen durchführen kann, ohne dass das Berufsgeheimnis verletzt werde (dazu ausführlich: Kreisschreiben Nr. 19 Auskunfts-, Bescheinigungs- und Meldepflicht im DBG Ziff. 3b).</w:t>
      </w:r>
    </w:p>
    <w:p>
      <w:r>
        <w:rPr>
          <w:b/>
        </w:rPr>
        <w:t>E. 3.2.3.3</w:t>
      </w:r>
    </w:p>
    <w:p>
      <w:r>
        <w:t>Ohnehin kann sich die Beschwerdeführerin bzw. die betroffene Person - selbst bei Massgeblichkeit des strafrechtlich geschützten Berufsgeheimnisses gemäss Art. 321 StGB im Rahmen der innerstaatlichen Informationsbeschaffung nach Art 126 DBG - nicht mit Erfolg darauf berufen. Eine strafbare Verletzung des Berufsgeheimnisses wäre nämlich nur dann zu bejahen, wenn die Beschwerdeführerin, bei der die Informationen ediert wurden und die selbst offensichtlich nicht als Zahnärztin qualifiziert, die Eigenschaft einer Hilfsperson im Sinn von Art. 321 StGB erfüllen würde. Dies würde voraussetzen, dass sie unter der Aufsicht und Leitung des Zahnarztes tätig wurde (Niklaus Oberholzer, in: Niggli/Wiprächtiger [Hrsg.], Basler Kommentrar, Strafrecht II, Art. 137 - 392 StGB, Jugendstrafgesetz, 4. Aufl. 2019, Art. 321 N. 10; Trechsel/Vest, in: Trechsel/Pieth [Hrsg.], Schweizerisches Strafgesetzbuch, Praxiskommentar, 3. Aufl. 2018, Art. 321 N. 13). Anders etwa als bei Praxispersonal ist jedoch bei der Beschwerdeführerin als blosse Lieferantin von zahntechnischen Produkten und Vermieterin von Praxisräumen nicht ersichtlich, dass sie in einem derartigen Verhältnis zur betroffenen Person stand. Auch eine allfällige vertragliche Abrede zwischen ihr und der betroffenen Person über die Weitergabe von Patientendaten vermag an der fehlenden Hilfspersoneneigenschaft nichts zu ändern (vgl. Oberholzer, a.a.O., Art. 321 N. 11). Der Edition von Informationen bei der Beschwerdeführerin steht vorliegend das strafrechtlich geschützte Berufsgeheimnis gemäss Art. 321 StGB nicht entgegen. Folglich hindert der im Abkommen in Art. 26 Abs. 3 Bst. a bis c DBA CH-AT statuierte Vorbehalt der Erhältlichkeit von Informationen nach innerstaatlichem Recht bzw. des Berufsgeheimnisses auch die Übermittlung der Informationen an die ersuchende Behörde nicht. Dasselbe gilt in Bezug auf das von der Beschwerdeführerin angerufene Geschäftsgeheimnis im Zusammenhang mit der Übermittlung ihrer Jahresabschlüsse, Kontoblätter, Bestellscheinen und Patientenrechnungen (Beschwerde, Ziff. 2.3.4). Gemäss Rechtsprechung fallen solche finanziellen Informationen regelmässig nicht unter den Begriff des Geschäftsgeheimnisses im Sinne der Amtshilfeklauseln, die - wie der hier anwendbare Art. 26 DBA CH-AT - auf dem internationalen Standard basieren (vgl. Urteil des BGer 2C_616/2018 vom 9. Juli 2019 E. 7.1 f.; statt vieler: Urteil des BVGer A-3791/2017 vom 5. Januar 2018 E. 10.2 mit Hinweisen). Überdies zeigt die Beschwerdeführerin auch nicht auf, inwiefern diese Informationen für sie von erheblicher wirtschaftlicher Wichtigkeit sein sollen und wie der unberechtigte Gebrauch zu einem ernsthaften Schaden führen könnte.</w:t>
      </w:r>
    </w:p>
    <w:p>
      <w:r>
        <w:rPr>
          <w:b/>
        </w:rPr>
        <w:t>E. 3.2.4</w:t>
      </w:r>
    </w:p>
    <w:p>
      <w:r>
        <w:t>Die Beschwerdeführerin bemängelt im Zusammenhang mit der Informationsbeschaffung, dass die Vorinstanz keine Informationen beim «Mehrwertsteueramt» eingeholt habe, zumal gerade die Mehrwertsteuer ein klares Indiz für ein aktives Unternehmen sei. Insofern habe die Vorinstanz die Untersuchungsmaxime verletzt (Beschwerde, Ziff. 2.1.3.1). Vorliegend hat die Vorinstanz sowohl Informationen bei der kantonalen Steuerverwaltung als auch bei der Beschwerdeführerin selbst eingeholt. Dieses Vorgehen ist vor dem Hintergrund, dass die ersuchende Behörde mit dem Amtshilfeersuchen eine korrekte Einkommensbesteuerung der betroffenen Person bezweckt, üblich und rechtsgenügend. Weitere Abklärungen bei der ESTV, Hauptabtteilung Mehrwertsteuer, sind für die Beantwortung des Ersuchens nicht im Sinne von Art. 12 StAhiG geradezu erforderlich, weshalb dem Editionsgesuch nicht stattzugeben ist. Das Vorgehen der Vorinstanz ist nicht zu beanstanden.</w:t>
      </w:r>
    </w:p>
    <w:p>
      <w:r>
        <w:rPr>
          <w:b/>
        </w:rPr>
        <w:t>E. 3.2.5</w:t>
      </w:r>
    </w:p>
    <w:p>
      <w:r>
        <w:t>Die gegenüber der Beschwerdeführerin erlassene Editionsverfügung bzw. die vorinstanzliche Informationsbeschaffung erweist sich als rechtmässig. Damit steht vorliegend auch der Vorbehalt der Erhältlichkeit der Informationen nach innerstaatlichem Recht bzw. der Vorbehalt des Berufsgeheimnisses gemäss Art. 26 Abs. 3 Bst. a bis c DBA CH-AT der Informationsübermittlung nicht entgegen. Die zur Übermittlung vorgesehenen Informationen fallen auch nicht unter den Begriff des Geschäftsgeheimnisses im Sinne von Art. 26 Abs. 3 Bst. c DBA CH-AT.</w:t>
      </w:r>
    </w:p>
    <w:p>
      <w:r>
        <w:rPr>
          <w:b/>
        </w:rPr>
        <w:t>E. 3.3</w:t>
      </w:r>
    </w:p>
    <w:p>
      <w:r>
        <w:t>Die Beschwerdeführerin beantragt die Aufhebung der Schlussverfügung mit der Begründung, die von der Vorinstanz zur Übermittlung vorgesehenen Informationen seien nicht voraussichtlich erheblich im Sinne der Amtshilfeklausel, weil diese für die Beurteilung der Steuersituation der betroffenen Person nicht relevant seien. Sie verwahrt sich in diesem Zusammenhang insbesondere gegen die Annahme der ersuchenden Behörde, dass es sich bei ihr um eine Scheinfirma handeln könnte und sie nicht operativ tätig sei (Beschwerde, Ziff. 2.2.2.2, 2.3.3 ff., 2.3.11.2 ff.).</w:t>
      </w:r>
    </w:p>
    <w:p>
      <w:r>
        <w:rPr>
          <w:b/>
        </w:rPr>
        <w:t>E. 3.3.1</w:t>
      </w:r>
    </w:p>
    <w:p>
      <w:r>
        <w:t>Wie bereits dargelegt, basiert das Amtshilfeersuchen auf der Feststellung der ersuchenden Behörde, wonach die Beschwerdeführerin den Patienten von X._______ direkt Rechnung für zahntechnisches Material, welches von Letzterem bestellt und von ihm auch im Rahmen der zahnärztlichen Behandlung verarbeitet wurde, gestellt hat und dass dieser Vorgang in seiner Buchhaltung nicht abgebildet wurde. Sie hegt den Verdacht, dass X._______ mithilfe der Beschwerdeführerin, bei der es sich möglicherweise um eine Scheinfirma handle, die Bemessungsgrundlage für seine Einkommensbesteuerung zu Unrecht verkürzt habe. Mithilfe der erfragten Informationen möchte die ersuchende Behörde klären, ob zwischen X._______ und der Beschwerdeführerin ein Näheverhältnis besteht bzw. ob die Beschwerdeführerin überhaupt existiert. Weiter möchte sie zwecks allfälliger Umsatzaufrechnung bei X._______ eruieren, welche Umsätze die Beschwerdeführerin mit den Lieferungen von zahntechnischem Material an die Patienten von X._______ erzielt hat. Unter dem Aspekt der voraussichtlichen Erheblichkeit hat das Gericht zu prüfen, ob die vom ersuchenden Staat verlangten Informationen und Dokumente einen Zusammenhang mit dem im Ersuchen dargestellten Sachverhalt haben und ob sie möglicherweise dazu geeignet sind, im ausländischen Verfahren verwendet zu werden. Keine Rolle spielt, ob sich diese Informationen nach deren Übermittlung für die ersuchende Behörde als nicht erheblich herausstellen (E. 2.2.2.1 f.).</w:t>
      </w:r>
    </w:p>
    <w:p>
      <w:r>
        <w:rPr>
          <w:b/>
        </w:rPr>
        <w:t>E. 3.3.2</w:t>
      </w:r>
    </w:p>
    <w:p>
      <w:r>
        <w:t>Die von der Vorinstanz zur Übermittlung vorgesehenen Antworten auf die im Amtshilfeersuchen gestellten Fragen weisen alle einen Zusammenhang mit dem im Ersuchen dargestellten Sachverhalt auf und sollen Aufschluss darüber geben, ob zwischen der Beschwerdeführerin und X._______ als betroffener Person ein Näheverhältnis besteht bzw. ob Erstere operativ tätig ist. Weiter wird in den Antworten auch die Geschäftsabwicklung zwischen der Beschwerdeführerin und der betroffenen Person erläutert. Diese Informationen erweisen sich damit als voraussichtlich erheblich.</w:t>
      </w:r>
    </w:p>
    <w:p>
      <w:r>
        <w:rPr>
          <w:b/>
        </w:rPr>
        <w:t>E. 3.3.3</w:t>
      </w:r>
    </w:p>
    <w:p>
      <w:r>
        <w:t>Dasselbe gilt in Bezug auf die zur Übermittlung vorgesehenen Unterlagen: Die Jahresrechnungen der Beschwerdeführerin erlauben eine Einschätzung über ihre wirtschaftliche Tätigkeit und Existenz. Die Bestellscheine/Aufträge der betroffenen Person wie auch die der Buchhaltung entnommenen Kontoblätter «Ertrag Technik» und die von der Beschwerdeführerin den Patienten gestellten Rechnungen für zahntechnische Leistungen, die im Zusammenhang mit Behandlungen der betroffenen Person stehen könnten, sind möglicherweise relevant für die Ermittlung eines allfällig der betroffenen Person zuzurechnenden Gesamtumsatzes. Daran vermag auch der Einwand der Beschwerdeführerin nichts zu ändern, wonach die buchhalterische Erfassung ihrer Umsätze bei der betroffenen Person ohnehin zu einem Nullsummenspiel führen würde, da den Erträgen entsprechende Aufwände gegenüberstünden (vgl. Beschwerde, Ziff. 2.3.7.1; Replik, Rz. 17 ff. und Rz. 64). Es ist nicht Aufgabe des ersuchten Staates im Rahmen eines Amtshilfeverfahrens zu beurteilen, ob die Aufrechnung bisher nicht berücksichtigter Umsätze bei der betroffenen Person letztlich in einer höheren Steuerbelastung resultiert oder nicht. Auch ist nicht im Amtshilfeverfahren zu klären, ob es sich bei den vorliegend zur Übermittlung vorgesehenen Bestellscheinen lediglich um eine für die Buchhaltung der betroffenen Person unerhebliche «Bedarfsmitteilung» handelt, wie die Beschwerdeführerin vorbringt (vgl. Beschwerde, Ziff. 2.3.6). Immerhin ist dazu festzuhalten, dass ein Zusammenhang zwischen den ersuchten Bestellscheinen und den von der Beschwerdeführerin den Patienten gestellten Rechnungen nicht von der Hand zu weisen ist, so dass deren voraussichtliche Erheblichkeit zu bejahen ist. Es obliegt letztlich der ersuchenden Behörde im Rahmen des Erkenntnisverfahrens anhand der übermittelten Informationen zu klären, ob ihre Sachverhaltsannahmen zutreffen oder nicht. Auf die Ausführungen der Beschwerdeführerin in ihrer Stellungnahme vom 18. September 2020 (Rz. 28 ff.), mit welchen sie das «unrichtige Bild», das von ihr gezeichnet werde, korrigieren möchte, ist daher nicht näher einzugehen. Was sodann die weiteren zur Übermittlung vorgesehenen Dokumente betrifft, so geben diese Hinweise auf allfällige Geschäftsbeziehungen der Beschwerdeführerin mit Dritten, was wiederum für die Beurteilung eines Näheverhältnisses bzw. eines möglichen Steuerumgehungstatbestands von Bedeutung ist. Gleiches gilt für die zur Übermittlung vorgesehenen Verträge zwischen der betroffenen Person und der Beschwerdeführerin, weshalb deren voraussichtliche Erheblichkeit zur Klärung der Steuersituation der betroffenen Person zu bejahen ist. Auch kann von einer spontanen Amtshilfe in Bezug auf [eine konkret benannte Unterlage] (Beschwerde, Ziff. 2.3.9) keine Rede sein, denn im Ersuchen wird die Übermittlung von Kopien sämtlicher relevanter Dokumente im Zusammenhang mit Geschäftsbeziehungen, Verbundenheit und Vereinbarungen zwischen der Beschwerdeführerin und der betroffenen Person explizit verlangt (vorne Sachverhalt Bst. A.d.; Fragen 13-15, 16 und 19).</w:t>
      </w:r>
    </w:p>
    <w:p>
      <w:r>
        <w:rPr>
          <w:b/>
        </w:rPr>
        <w:t>E. 3.3.4</w:t>
      </w:r>
    </w:p>
    <w:p>
      <w:r>
        <w:t>Insgesamt erscheinen sämtliche zur Übermittlung vorgesehenen Informationen geeignet, im österreichischen Steuerverfahren betreffend die betroffene Person verwendet zu werden. Das Kriterium der voraussichtlichen Erheblichkeit ist damit erfüllt.</w:t>
      </w:r>
    </w:p>
    <w:p>
      <w:r>
        <w:rPr>
          <w:b/>
        </w:rPr>
        <w:t>E. 3.3.5</w:t>
      </w:r>
    </w:p>
    <w:p>
      <w:r>
        <w:t>An der voraussichtlichen Erheblichkeit der auszutauschenden Informationen ändert auch der Umstand nichts, dass die ersuchende Behörde - wie die von ihr ergänzend übermittelten Dokumente zeigen (vgl. Sachverhalt Bst. I; ferner E. 1.4) - zwischenzeitlich dennoch in Besitz von gewissen Unterlagen der Beschwerdeführerin, namentlich Jahresrechnungen und Rechnungslisten gelangt ist. Wie die Vorinstanz in ihrer Stellungnahme vom 7. Mai 2020 zu Recht vorbringt, sind Informationen auch dann zu übermitteln, wenn sie zwecks Überprüfung schon vorhandener, aber nicht völlig zweifelsfreier Erkenntnisse der Behörden des ersuchenden Staates verlangt werden (sog. Verifikationszweck; statt vieler: Urteil des BVGer A-1781/2019 vom 4. November 2020 E. 3.4 in fine mit Hinweisen). Diese «Verifikation» obliegt dabei dem ersuchenden Staat. Unerheblich ist, dass der Informationsaustausch ursprünglich nicht zu Verifikationszwecken eingeleitet wurde. Indem die ersuchende Behörde der Vorinstanz anzeigte, dass sie in Besitz einzelner Unterlagen gelangt ist und diese als Ergänzung zum Amtshilfeersuchen einreichte, hat sie ihren Willen zur Fortsetzung des Amtshilfeverfahrens kundgetan. Es ist mangels gegenteiliger Äusserung der ersuchenden Behörde davon auszugehen, dass die erfragten Informationen für den ersuchenden Staat zur Klärung der Steuersituation der betroffenen Person nach wie vor voraussichtlich erheblich sind.</w:t>
      </w:r>
    </w:p>
    <w:p>
      <w:r>
        <w:rPr>
          <w:b/>
        </w:rPr>
        <w:t>E. 3.4</w:t>
      </w:r>
    </w:p>
    <w:p>
      <w:r>
        <w:t>Weiter ist zu prüfen, ob die von der Vorinstanz beabsichtigte Übermittlung der Patientendaten verhältnismässig und damit gemäss Art. 4 Abs. 3 StAhiG zulässig ist. In diesem Zusammenhang stellt sich auch die Frage, ob die Daten gegebenenfalls zu anonymisieren sind, wie dies die Beschwerdeführerin im Rahmen ihres Subeventualantrags verlangt.</w:t>
      </w:r>
    </w:p>
    <w:p>
      <w:r>
        <w:rPr>
          <w:b/>
        </w:rPr>
        <w:t>E. 3.4.1</w:t>
      </w:r>
    </w:p>
    <w:p>
      <w:r>
        <w:t>Die Patientendaten sind vorliegend für die ersuchende Behörde insofern relevant und damit voraussichtlich erheblich, als sie ihr ermöglichen, von der Beschwerdeführerin erzielte Umsätze gegebenenfalls der betroffenen Person zuzuordnen. Die Schwärzung der Patientendaten könnte dies jedoch verunmöglichen und somit den Zweck der Amtshilfe vereiteln. Unter diesen Umständen vermögen die Interessen der Patienten am Schutz ihrer Daten das Interesse des ersuchenden Staats nicht zu überwiegen. Somit ist die Übermittlung von Daten Dritter gestützt auf Art. 4 Abs. 3 StAhiG und die Rechtsprechung zulässig (zum Ganzen: E. 2.4). Die von der Vorinstanz beabsichtigte Informationsübermittlung ohne Anonymisierung der Patientendaten erweist sich als verhältnis- und damit rechtmässig.</w:t>
      </w:r>
    </w:p>
    <w:p>
      <w:r>
        <w:rPr>
          <w:b/>
        </w:rPr>
        <w:t>E. 3.4.2</w:t>
      </w:r>
    </w:p>
    <w:p>
      <w:r>
        <w:t>Soweit die Beschwerdeführerin subeventualiter zudem beantragt, es seien - neben den Patientendaten - auch die Namen und Adressen von Vertragspartnern und Mitarbeitern zu anonymisieren, erfüllt ihre Begründung die von der Rechtsprechung verlangten hohen Anforderungen an die Substantiierungspflicht nicht (vgl. E. 2.6). Auf den Anonymisierungsantrag ist daher nicht einzutreten. Allerdings bietet das Spezialitätsprinzip und dessen persönliche Dimension den vorgenannten Drittpersonen Schutz (dazu nachfolgend: E. 4).</w:t>
      </w:r>
    </w:p>
    <w:p>
      <w:r>
        <w:rPr>
          <w:b/>
        </w:rPr>
        <w:t>E. 3.5</w:t>
      </w:r>
    </w:p>
    <w:p>
      <w:r>
        <w:t>Schliesslich beanstandet die Beschwerdeführerin, dass die Vorinstanz die Patienten nicht über das Amtshilfeverfahren informiert habe. Gemäss jüngster bundesgerichtlicher Rechtsprechung ist eine Informationspflicht indessen nur dann zu bejahen, wenn die Beschwerdelegitimation aufgrund der Akten geradezu «evident» ist. Dies ist vorliegend nicht der Fall. Zudem sind auch die Patienten - wie die anderen vorliegend involvierten Dritten (vgl. bereits E. 3.4.2) - durch das Spezialitätsprinzip (dazu nachfolgend: E. 4) vor der Verwendung ihrer Informationen durch den ersuchenden Staat geschützt (vgl. zum Ganzen vorne: E. 2.7).</w:t>
      </w:r>
    </w:p>
    <w:p>
      <w:r>
        <w:rPr>
          <w:b/>
        </w:rPr>
        <w:t>E. 3.6</w:t>
      </w:r>
    </w:p>
    <w:p>
      <w:r>
        <w:t>Nach dem Gesagten sind die Voraussetzungen für die in der Schlussverfügung vorgesehene Amtshilfeleistung erfüllt. Die Beschwerde erweist sich als unbegründet und ist abzuweisen, soweit darauf einzutreten ist.</w:t>
      </w:r>
    </w:p>
    <w:p>
      <w:r>
        <w:rPr>
          <w:b/>
        </w:rPr>
        <w:t>E. 4</w:t>
      </w:r>
    </w:p>
    <w:p>
      <w:r>
        <w:t>Die Vorinstanz hat in Ziff. 4 des Dispositivs der angefochtenen Schlussverfügung auf die Verwendungsbeschränkung der zu übermittelnden Informationen gemäss Art. 26 Abs. 2 DBA CH-AT hingewiesen. Mit Blick auf die bundesgerichtliche Rechtsprechung, wonach das Spezialitätsprinzip auch eine persönliche Dimension aufweist (vorne E. 2.4.3), ist es angezeigt, dass die ESTV die ersuchende Behörde anlässlich der Übermittlung der ersuchten Informationen genauer über den Umfang der Verwendungsbeschränkung informiert und Ziff. 4 des Dispositivs der angefochtenen Verfügung entsprechend präzisiert. Die Vorinstanz hat denn auch bereits selbst in Aussicht gestellt, den Spezialitätsvorbehalt entsprechend anzupassen (s. Stellungnahme ESTV vom 8. Oktober 2020, Rz. 4).</w:t>
      </w:r>
    </w:p>
    <w:p>
      <w:r>
        <w:rPr>
          <w:b/>
        </w:rPr>
        <w:t>E. 5.1</w:t>
      </w:r>
    </w:p>
    <w:p>
      <w:r>
        <w:t>Ausgangsgemäss hat die Beschwerdeführerin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Der unterliegenden Beschwerdeführerin ist keine Parteientschädigung zuzusprechen (vgl. Art. 64 Abs. 1 VwVG e contrario und Art. 7 Abs. 1 VGKE e contrario).</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