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A-6068/2019 vom 31. März 2021</w:t>
      </w:r>
    </w:p>
    <w:p>
      <w:r>
        <w:t>Bundesverwaltungsgericht, 2021-03-31, FR</w:t>
      </w:r>
    </w:p>
    <w:p>
      <w:r>
        <w:rPr>
          <w:b/>
        </w:rPr>
        <w:t xml:space="preserve">Quelle: </w:t>
      </w:r>
      <w:r>
        <w:t>https://mcp.opencaselaw.ch/entscheid/bvger_A-6068_2019</w:t>
      </w:r>
    </w:p>
    <w:p>
      <w:r>
        <w:t>FR: TAF A-6068/2019 du 31 mars 2021</w:t>
      </w:r>
    </w:p>
    <w:p>
      <w:r>
        <w:t>IT: TAF A-6068/2019 del 31 marzo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(art. 33 let. d LTAF; art. 5 al. 1 et 17 al. 3 de la loi fédérale du 28 septembre 2012 sur l'assistance administrative internationale en matière fiscale [Loi sur l'assistance administrative, LAAF, RS 651.1]). Il est ainsi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1.3</w:t>
      </w:r>
    </w:p>
    <w:p>
      <w:r>
        <w:t>Présentés dans le délai (art. 20 al. 3 et art. 50 al. 1 PA) et les formes (art. 52 al. 1 PA) prévus par la loi, les recours interjetés par les recourants qui disposent de surcroît de la qualité pour recourir (art. 48 PA et art. 19 al. 2 LAAF), sont recevables, de sorte qu'il convient d'entrer en matière sur leurs mérites.</w:t>
      </w:r>
    </w:p>
    <w:p>
      <w:r>
        <w:rPr>
          <w:b/>
        </w:rPr>
        <w:t>E. 1.4</w:t>
      </w:r>
    </w:p>
    <w:p>
      <w:r>
        <w:t>Le recours a un effet suspensif ex lege (art. 19 al. 3 LAAF). L'éventuelle transmission de renseignements par l'AFC ne doit donc avoir lieu qu'une fois l'entrée en force de la décision de rejet du recours (cf. FF 2010 241, 248; arrêts du TAF A-5309/2019 du 3 décembre 2020 consid. 1.3; A-7413/2018 du 8 octobre 2020 consid. 1.3).</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Moor/Poltier, Droit administratif, vol. II, 2011, p. 300). Néanmoins, il se limite en principe aux griefs invoqués et n'examine les autres points que dans la mesure où les arguments des parties ou le dossier l'y incitent (cf. ATF 122 V 157 consid. 1a; ATAF 2012/23 consid. 4; 2007/27 consid. 3.3; cf. également Kölz/Häner/Bertschi, Verwaltungsverfahren und Verwaltungsrechtspflege des Bundes, 3ème éd., 2013, ch. 1135).</w:t>
      </w:r>
    </w:p>
    <w:p>
      <w:r>
        <w:rPr>
          <w:b/>
        </w:rPr>
        <w:t>E. 2.2</w:t>
      </w:r>
    </w:p>
    <w:p>
      <w:r>
        <w:t>Les recourants peuvent invoquer la violation du droit fédéral, y compris l'excès ou l'abus du pouvoir d'appréciation (art. 49 let. a PA), la constatation inexacte ou incomplète des faits pertinents (art. 49 let. b PA) ou l'inopportunité (art. 49 let. c PA; cf. Häfelin/Müller/Uhlmann, Allgemeines Verwaltungsrecht, 7ème éd., 2016, ch. 1146 ss; Moser/Beusch/Kneubühler, Prozessieren vor dem Bundesverwaltungsgericht, 2ème éd., 2013, ch. 2.149).</w:t>
      </w:r>
    </w:p>
    <w:p>
      <w:r>
        <w:rPr>
          <w:b/>
        </w:rPr>
        <w:t>E. 3</w:t>
      </w:r>
    </w:p>
    <w:p>
      <w:r>
        <w:t>Compte tenu de la nature du litige, le Tribunal, après avoir exposé les bases conventionnelles et de droit interne sur lesquelles reposent les demandes d'assistance fiscales avec l'Inde (cf. consid. 4.1s. infra), examinera en premier lieu la forme de la demande (cf. consid. 4.3 infra). En second lieu, la Cour de céans présentera les autres conditions de l'assistance administrative et traitera des griefs invoqués par les recourants (cf. consid. 5 et 6 infra).</w:t>
      </w:r>
    </w:p>
    <w:p>
      <w:r>
        <w:rPr>
          <w:b/>
        </w:rPr>
        <w:t>E. 4.1.1</w:t>
      </w:r>
    </w:p>
    <w:p>
      <w:r>
        <w:t>L'assistance administrative avec l'Inde est actuellement régie par l'art. 26 CDI CH-IN et le ch. 10 ad art. 26 du Protocole additionnel joint à la convention (ce dernier est publié également au RS 0.672.942.31; ci-après : Protocole CDI CH-IN). L'art. 26 CDI CH-IN et le ch. 10 ad art. 26 du Protocole CDI CH-IN dans leur nouvelle teneur ont été introduits par le Protocole du 30 août 2010 modifiant la CDI CH-IN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(cf. RO 2011 4617; FF 2010 8081; ci-après: Protocole du 30 août 2010).</w:t>
      </w:r>
    </w:p>
    <w:p>
      <w:r>
        <w:rPr>
          <w:b/>
        </w:rPr>
        <w:t>E. 4.1.2</w:t>
      </w:r>
    </w:p>
    <w:p>
      <w:r>
        <w:t>Ces modifications s'appliquent aux demandes d'assistance en lien avec les revenus réalisés, au cours de l'année fiscale débutant le 1er avril de l'année civile suivant l'entré en vigueur le Protocole et les années suivantes (art. 14 par. 2 Protocole du 30 août 2010; cf. arrêts du TAF A-6080/2016 du 23 février 2018 consid. 5.1.2; A-2540/2017 du 7 septembre 2017 consid. 2.1 [décision confirmée par arrêt du TF 2C_819/2017 du 2 août 2018]). Dès lors, l'assistance administrative internationale fondée sur l'art. 26 CDI CH-IN peut tout au plus entrer en ligne de compte à partir de l'année fiscale (« fiscal year ») débutant le 1er avril 2011, soit 2011/2012 au plus tôt (cf. arrêts du TAF A-2981/2019 du 1er septembre 2020 consid. 2.2.1; A-6391/2016 du 17 janvier 2018 consid. 4.1.2 [décision confirmée par arrêt du TF 2C_88/2018 du 7 décembre 2018]; A-4232/2013 du 17 décembre 2013 consid. 6.2.4.1 [qui précise que la procédure fiscale indienne correspond à un système de taxation annuelle postnumerando] et 6.2.5).</w:t>
      </w:r>
    </w:p>
    <w:p>
      <w:r>
        <w:rPr>
          <w:b/>
        </w:rPr>
        <w:t>E. 4.1.3</w:t>
      </w:r>
    </w:p>
    <w:p>
      <w:r>
        <w:t>Pour que l'art. 26 CDI CH-IN dans sa nouvelle teneur s'applique, il suffit que les informations obtenues hors de la période concernée par la demande d'assistance administrative reposent sur un complexe de faits continuant à produire des effets juridiques après le 1er avril 2011, par exemple un contrat de durée (cf. arrêts du TAF A-907/2017 du 14 novembre 2017 consid. 2.1.2 [décision confirmée par le TF en lien avec la CDI CH-GB]; A-778/2017 du 5 juillet 2017 consid. 9.2 [décision confirmée par arrêt du TF 2C_648/2017 du 17 juillet 2018]; A-3716/2015 du 16 février 2016 consid. 5.6).</w:t>
      </w:r>
    </w:p>
    <w:p>
      <w:r>
        <w:rPr>
          <w:b/>
        </w:rPr>
        <w:t>E. 4.2</w:t>
      </w:r>
    </w:p>
    <w:p>
      <w:r>
        <w:t>Sur le plan formel, le ch. 10 let. b du Protocole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(iii) une description des renseignements demandés; (iv) l'objectif fiscal poursuivi ainsi que (v) le nom et, si elle est connue, l'adresse de toute personne présumée être en possession des renseignements requis. En lien avec cette liste d'indications sur le contenu de la demande, à fournir par l'Etat requérant dans le contexte des CDI (art. 6 al. 2 LAAF qui est d'application subsidiaire), le Tribunal fédéral retient qu'elle est conçue de telle manière que si l'Etat requérant s'y conforme scrupuleusement, la pertinence vraisemblable des renseignements demandés est en principe présumée (cf. ATF 142 II 161 consid. 2.1.4; arrêt du TF 2C_241/2016 du 7 avril 2017 consid. 5.1; voir consid. 5.1 infra).</w:t>
      </w:r>
    </w:p>
    <w:p>
      <w:r>
        <w:rPr>
          <w:b/>
        </w:rPr>
        <w:t>E. 4.3</w:t>
      </w:r>
    </w:p>
    <w:p>
      <w:r>
        <w:t>En l'espèce, la demande d'assistance du (...) contient toutes les indications nécessaires de sorte que la pertinence vraisemblable des informations requises est en principe présumée respectée.</w:t>
      </w:r>
    </w:p>
    <w:p>
      <w:r>
        <w:rPr>
          <w:b/>
        </w:rPr>
        <w:t>E. 5.1.1</w:t>
      </w:r>
    </w:p>
    <w:p>
      <w:r>
        <w:t>Aux termes de l'art. 26 par. 1 CDI CH-IN, l'assistance doit être accordée à condition qu'elle porte sur des renseignements vraisemblablement pertinents pour l'application de la CDI ou de la législation fiscale interne des Etats contractants (cf. ATF 142 II 161 consid. 2.1.1, 2.1.4 et 2.4; 141 II 436 consid. 4.4; arrêts du TF 2C_1162/2016 du 4 octobre 2017 consid. 6.3; 2C_893/2015 du 16 février 2017 consid. 12.3 non publié aux ATF 143 II 202; arrêt du TAF A-2981/2019 du 1er septembre 2020 consid. 2.2.2). Les renseignements qui ne sont pas vraisemblablement pertinents ne sont pas transmis par l'AFC (art. 17 al. 2 LAAF). La notion de pertinence vraisemblable - la clé de voûte de l'échange de renseignements (cf. arrêts du TF 2C_695/2017 du 29 octobre 2018 consid. 2.6;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peu importe qu'une fois fournis, il s'avère par la suite que l'information demandée ne soit finalement pas pertinente.</w:t>
      </w:r>
    </w:p>
    <w:p>
      <w:r>
        <w:rPr>
          <w:b/>
        </w:rPr>
        <w:t>E. 5.1.2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arrêts du TAF A-1342/2019 du 2 septembre 2020 consid. 6.2.3; A-3703/2019 du 23 avril 2020 consid. 2.3.2; A-2830/2018 du 17 septembre 2018 consid. 2.1.2; cf. voir aussi quelques rares arrêts du TF en langue française qui exigent qu'apparaisse avec certitude que les documents ne sont pas déterminants pour l'enquête: ATF 144 II 161 consid. 2.1.1; 142 II 161 consid. 2.1.1; cf. à ce sujet arrêt du TAF A-6666/2014 du 19 avril 2016 consid. 2.3 in fine).</w:t>
      </w:r>
    </w:p>
    <w:p>
      <w:r>
        <w:rPr>
          <w:b/>
        </w:rPr>
        <w:t>E. 5.2.1</w:t>
      </w:r>
    </w:p>
    <w:p>
      <w:r>
        <w:t>Le principe de la bonne foi s'applique (art. 7 al. 1 let. c LAAF) en tant que principe d'interprétation et d'exécution des traités dans le domaine de l'échange de renseignements des conventions de double imposition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arrêts du TAF A-1342/2019 du 2 septembre 2020 consid. 6.1.2; A-3703/2019 du 23 avril 2020 consid. 2.4.1 et la jurisprudence citée).</w:t>
      </w:r>
    </w:p>
    <w:p>
      <w:r>
        <w:rPr>
          <w:b/>
        </w:rPr>
        <w:t>E. 5.2.2</w:t>
      </w:r>
    </w:p>
    <w:p>
      <w:r>
        <w:t>La bonne foi d'un Etat est toujours présumée dans les relations internationales, ce qui implique, dans le présent contexte, que l'Etat requis ne saurait en principe mettre en doute les allégations de l'Etat requérant (cf. ATF 144 II 206 consid. 4.4; 142 II 218 consid. 3.3; 142 II 161 consid. 2.1.3; arrêt du TAF A-1342/2019 du 2 septembre 2020 consid. 6.1.2),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(cf. ATF 144 II 206 consid. 4.4; 143 II 202 consid. 8.7.1 et les références citées).</w:t>
      </w:r>
    </w:p>
    <w:p>
      <w:r>
        <w:rPr>
          <w:b/>
        </w:rPr>
        <w:t>E. 5.2.3</w:t>
      </w:r>
    </w:p>
    <w:p>
      <w:r>
        <w:t>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arrêt du TF 2C_588/2018 du 13 juillet 2018 consid. 4.2).</w:t>
      </w:r>
    </w:p>
    <w:p>
      <w:r>
        <w:rPr>
          <w:b/>
        </w:rPr>
        <w:t>E. 5.2.4</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(cf. ch. 10 ad art. 26 let. d in fine du Protocole à la CDI CH-IN, en lien avec le ch. 10 let. b sous par. iv du Protocole à la CDI CH-IN; arrêt du TF 2C_1037/2019 du 27 août 2020 consid. 5.2). En d'autres termes, l'Etat requis doit interpréter les demandes d'assistance de bonne foi. Un tel comportement s'impose déjà en vertu de l'art. 26 de la Convention de Vienne du 23 mai 1969 sur le droit des traités (CV, RS 0.111), qui prévoit que tout traité en vigueur lie les parties et doit être exécuté par elles de bonne foi (cf. ATF 143 II 136 consid. 5.2.1; 142 II 161 consid. 2.1.3; arrêts du TF 2C_1037/2019 du 27 août 2020 consid. 5.2; 2C_287/2019 du 13 juillet 2020 consid. 2.3.1). Un Etat partie à un traité international doit ainsi proscrire tout comportement ou toute interprétation qui aboutirait à éluder ses engagements internationaux ou à détourner le traité de son sens et de son but (cf. ATF 144 II 130 consid. 8.2.1; 143 II 202 consid. 6.3.1; 142 II 35 consid. 3.2; 142 II 161 consid. 2.1.3; arrêt du TF 2C_1037/2019 du 27 août 2020 consid. 5.2).</w:t>
      </w:r>
    </w:p>
    <w:p>
      <w:r>
        <w:rPr>
          <w:b/>
        </w:rPr>
        <w:t>E. 5.3.1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A-4545/2016 du 8 février 2018 consid. 4.3.1; A-4025/2016 du 2 mai 2017 consid. 3.4). La transmission d'informations est ainsi en principe également possible à condition de répondre à l'exigence de la pertinence vraisemblable (cf. ATF 144 II 29 consid. 4.2.3; 142 II 161 consid. 4.6.1; pour des développements, cf. arrêt du TAF A-4819/2016 du 4 avril 2018 consid. 3).</w:t>
      </w:r>
    </w:p>
    <w:p>
      <w:r>
        <w:rPr>
          <w:b/>
        </w:rPr>
        <w:t>E. 5.4</w:t>
      </w:r>
    </w:p>
    <w:p>
      <w:r>
        <w:t>La demande ne doit pas être déposée uniquement à des fins de recherche de preuves au hasard (interdiction de la pêche aux renseignements [« fishing expedition »]; art. 7 let. a LAAF; cf. ATF 144 II 206 consid. 4.2;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(cf. arrêt du Tribunal administratif fédéral A-3703/2019 du 23 avril 2020 consid. 2.5 et la jurisprudence citée).</w:t>
      </w:r>
    </w:p>
    <w:p>
      <w:r>
        <w:rPr>
          <w:b/>
        </w:rPr>
        <w:t>E. 5.5</w:t>
      </w:r>
    </w:p>
    <w:p>
      <w:r>
        <w:t>Le principe de spécialité veut que l'Etat requérant n'utilise les informations reçues de l'Etat requis qu'à l'égard des personnes et des agissements pour lesquels il les a demandées et pour lesquels elles lui ont été transmises (art. 26 par. 2 CDI CH-IN; cf. arrêt du TF 2C_537/2019 du 13 juillet 2020 consid. 3.7 [destiné à la publication]; arrêts du TAF A-1342/2019 du 2 septembre 2020 consid. 6.3; A-5046/2018 du 22 mai 2019 consid. 4 et 5; A-4434/2016 du 18 janvier 2018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arrêt du TF 2C_537/2019 du 13 juillet 2020 consid. 3.4 [destiné à la publication]).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du 13 juillet 2020s consid. 3.5 [destiné à la publication]; 2C_545/2019 du 13 juillet 2020 consid. 4.7). Selon l'art. 26 par. 2 CDI CH-IN,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(Strafverfolgung, perseguimento penale)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 (cf. arrêt du TAF A-2981/2019 du 1er septembre 2020 consid. 2.5.1).</w:t>
      </w:r>
    </w:p>
    <w:p>
      <w:r>
        <w:rPr>
          <w:b/>
        </w:rPr>
        <w:t>E. 5.6</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arrêts du TF 2C_493/2019 du 17 août 2020 consid. 5 [CDI CH-NL]; 2C_703/2019 du 16 novembre 2020 consid. 6.4-6.6).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(cf. arrêts du TAF A-6589/2016 du 6 mars 2018 consid. 4.5; A-4353/2016 du 27 février 2017 consid. 2.4). Il n'y a pas lieu d'exiger de l'autorité requérante qu'elle démontre avoir interpellé en vain le contribuable visé avant de demander l'assistance à la Suisse (cf. arrêts du TAF A-1146/2019 du 6 septembre 2019 consid. 5.2; A-7413/2018 du 8 octobre 2020 consid. 4.3.3). Peu importe par ailleurs que l'Etat requérant obtienne en cours de procédure des informations directement du contribuable visé, parce que celui-ci choisit spontanément de les lui transmettre et/ou conclut un accord avec les autorités fiscales (cf. ATF 144 II 206 consid. 3.3.1).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5.7</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arrêts du TAF A-6266/2017 du 24 août 2018 consid. 2.8; A-5066/2016 du 17 mai 2018 consid. 2.8; A-4434/2016 du 18 janvier 2018 consid. 3.8.1 et les références citées).</w:t>
      </w:r>
    </w:p>
    <w:p>
      <w:r>
        <w:rPr>
          <w:b/>
        </w:rPr>
        <w:t>E. 6.1</w:t>
      </w:r>
    </w:p>
    <w:p>
      <w:r>
        <w:t>Dans le cas d'espèce, les griefs soulevés par les différents recourants peuvent être traités conjointement du fait qu'ils sont fondés principalement sur les mêmes arguments. Ils font notamment valoir que l'autorité inférieure a omis de constater respectivement a constaté de manière incomplète certains faits pertinents. Elle aurait interprété de manière trop large et subjective les questions de l'autorité fiscale indienne. Elle aurait reformulé les questions destinées aux institutions bancaires, au-delà de ce qui était requis par l'autorité requérante. A titre d'exemple, les recourants mentionnent les notions de « financial interest / beneficial ownership / interest » contenues aux questions 1 et 2 de la demande du (...), substituées par les notions de « holder(s), beneficial owner(s) and/or authorized signatories » (p. 3 des recours). Par ailleurs, ces notions seraient trop vagues et violeraient l'interdiction de la pêche aux renseignements. Enfin, certaines informations requises concernent des renseignements liés de manière indirecte au recourant 1 et ne seraient ainsi pas vraisemblablement pertinents (cf. notamment recours du 18 novembre 2019, p. 5 et observations spontanées du 19 mars 2020, p. 4). En résumé, les recourants reprochent à l'autorité inférieure une interprétation trop extensive de la demande de sorte que les renseignements à transmettre ne sont pas vraisemblablement pertinents, qu'ils violent l'interdiction de « fishing expeditions » et que donc les faits n'ont pas été constatés correctement.</w:t>
      </w:r>
    </w:p>
    <w:p>
      <w:r>
        <w:rPr>
          <w:b/>
        </w:rPr>
        <w:t>E. 6.2</w:t>
      </w:r>
    </w:p>
    <w:p>
      <w:r>
        <w:t>L'interprétation d'une demande d'assistance administrative découle du principe de la bonne foi (cf. consid. 5.2.4 supra).</w:t>
      </w:r>
    </w:p>
    <w:p>
      <w:r>
        <w:rPr>
          <w:b/>
        </w:rPr>
        <w:t>E. 6.2.1</w:t>
      </w:r>
    </w:p>
    <w:p>
      <w:r>
        <w:t>Le Tribunal rappelle qu'une personne détient un compte bancaire de manière directe lorsqu'elle en est le titulaire juridique. Elle détient un compte bancaire de manière indirecte lorsqu'elle dispose économiquement des avoirs dudit compte en tant qu'ayant droit économique ou qu'elle est au bénéfice d'une procuration qui lui octroie un tel pouvoir (cf. arrêt du TF 2C_1037/2019 du 27 août 2020 consid. 4.3 [destiné à la publication]). Le Tribunal fédéral s'est par ailleurs prononcé sur la question du titulaire juridique indirect d'un compte bancaire en matière d'assistance administrative fiscale. Dans cette jurisprudence, le Tribunal fédéral a admis que lorsqu'un Etat requérant demande des informations sur les comptes bancaires détenu par la personne concernée (« held by ») celle-ci visait tous les comptes détenus de manière directe et indirecte (cf. arrêt du TF 2C_1037/2019 du 27 août 2020 consid. 5.3). Dans le cas d'espèce, l'autorité fiscale indienne n'a pas uniquement utilisé le terme de « held by the M/s. E._______ and/or the person under investigation » (cf. « Faits » A.b supra) mais aussi ceux de « financial interest / beneficial ownership / interest ». Or, ces éléments de la demande, interprétés sur la base du principe de la bonne foi et au regard de la jurisprudence précitée, permettent d'admettre que l'autorité requérante cherche à obtenir des informations sur tous les comptes détenus par le recourant 1 ou les membres de sa famille de manière directe et/ou indirecte.</w:t>
      </w:r>
    </w:p>
    <w:p>
      <w:r>
        <w:rPr>
          <w:b/>
        </w:rPr>
        <w:t>E. 6.2.2</w:t>
      </w:r>
    </w:p>
    <w:p>
      <w:r>
        <w:t>Ainsi, tous les arguments des recourants, spécifiques aux différentes entités ou comptes bancaires cités (E._______, H._______ en lien avec le « J._______ » ainsi que I._______ lnc.), concernant la détention indirecte ainsi que la reformulation opérée par l'autorité inférieure doivent par conséquent être rejetés. Il y a donc lieu de retenir que les faits n'ont pas été constatés de manière inexactes ou incomplètes mais, qu'en vertu de l'interprétation de la demande d'assistance du (...), l'autorité inférieure a, à juste titre, déduit des termes « financial interest / beneficial ownership / interest » que cela impliquait de requérir toutes les informations selon ses ordonnances de production adressées aux Banques. Le grief concernant la détention indirecte ne remet de ce fait pas non plus en cause la pertinence vraisemblable de ces informations et ne constitue pas une « fishing expedition » du fait que ces termes seraient imprécis et vagues.</w:t>
      </w:r>
    </w:p>
    <w:p>
      <w:r>
        <w:rPr>
          <w:b/>
        </w:rPr>
        <w:t>E. 6.3</w:t>
      </w:r>
    </w:p>
    <w:p>
      <w:r>
        <w:t>S'agissant de la pertinence vraisemblable, il sied de rappeler que l'autorité inférieure respectivement la Cour de céans se limite à effectuer un contrôle de plausibilité (cf. consid. 5.1.2 supra). Pour ce même motif, le tribunal ne tranche pas matériellement l'affaire (cf. arrêt du TAF A-7413/2018 du 8 octobre 2020 consid. 9.6.2 et les références citées). Les recourants exposent dans leurs observations des 19 mars, 13 juillet et 7 août 2020, en quoi les informations relatives aux différentes entités et relations bancaires ne seraient pas pertinentes. Le Tribunal va examiner et déterminer pour chacune d'entre elle si la pertinence vraisemblable est remplie ou non (cf. consid. 6.3.1ss infra). S'agissant toutefois du grief d'une détention indirecte de chacun des comptes bancaires, il ne sera pas traité spécifiquement pour chaque entité évoquée ci-après, mais il est renvoyé aux développements à ce sujet ci-avant (cf. consid. 6.2.1 supra).</w:t>
      </w:r>
    </w:p>
    <w:p>
      <w:r>
        <w:rPr>
          <w:b/>
        </w:rPr>
        <w:t>E. 6.3.1</w:t>
      </w:r>
    </w:p>
    <w:p>
      <w:r>
        <w:t>E._______. Les recourants estiment que le recourant 1 n'a aucun lien avec cette société offshore et que donc la demande d'assistance du (...) ne repose pas sur des soupçons étayés, comme le prétend l'autorité inférieure, mais sur des fausses indications (cf. observations du 7 août 2020). Il ne revient pas à l'autorité inférieure ou au Tribunal de remettre en cause la pertinence vraisemblable de cette information notamment en vertu du principe de bonne foi. L'autorité fiscale indienne a exposé dans sa demande être informée du fait que le recourant 1 avait procédé à la clôture de comptes détenus auprès de F._______ SA et que le solde de ce compte avait été versé sur le compte de la société E._______ détenu auprès de G._______ SA (ch. 12 demande). La pertinence vraisemblable est ainsi établie pour ces informations. Il sied en outre de se placer au moment du dépôt de la demande d'assistance pour juger de la pertinence vraisemblable. La cour de céans ne doit pas déterminer si l'état de fait décrit dans la requête correspond absolument à la réalité, mais doit examiner si les documents demandés se rapportent bien aux faits qui figurent dans la requête (cf. consid. 5.1 supra), ce qui est le cas en l'espèce, du fait que l'autorité requérante indique explicitement cette entité en lien avec le recourant 1 et les comptes bancaires détenus auprès des Banques.</w:t>
      </w:r>
    </w:p>
    <w:p>
      <w:r>
        <w:rPr>
          <w:b/>
        </w:rPr>
        <w:t>E. 6.3.2</w:t>
      </w:r>
    </w:p>
    <w:p>
      <w:r>
        <w:t>Compte bancaire n° (...) détenu par la société H._______ à travers le trust « J._______ ». La relation bancaire n° (...) ne ressort effectivement pas de la demande d'assistance du (...). Toutefois, il découle de ladite demande que l'autorité requérante cherche à obtenir des informations sur des entités offshores dans lesquelles le recourant 1 auraient des intérêts financiers et au sujet desquels il a été interrogé (ch. 12 de la demande). Par ailleurs, elle sollicite des informations sur tous les comptes bancaires détenus par les recourants de manière directe ou indirecte (financial interest / beneficial ownership / interest) auprès de F._______ SA et/ou G._______ SA ainsi que tout autre entité, Trust, société etc. (ch. 12 de la demande, 1ère et 2ème question). Ainsi, et contrairement à ce qu'indiquent les recourants, l'autorité requérante ne mentionne pas seulement le terme « Account ». En effet, la phrase complète est « any account along with Statements in the name of any Trust/Company/Entitiy [...] » (cf. ch. 12 de la demande, 1ère et 2ème question). En outre, il est également mentionné dans la demande que l'autorité fiscale indienne souhaite obtenir des informations en lien avec les comptes bancaires détenus par le recourant 1 (« held by », cf. consid. 6.2 supra). Les arguments des recourants, qui s'appuient notamment sur l'arrêt du TF 2C_963/2014 du 24 septembre 2015 (ATF 141 II 436), tombent à faux et sont sortis de leur contexte. En effet, il ne découle pas de cette jurisprudence que des comptes détenus de manière indirecte remplissent la condition de la pertinence vraisemblable seulement si les présomptions de l'Etat requérant s'appuient sur des documents bancaires, des déclarations d'employés bancaires et des questions précises de cet Etat (cf. observations du 19 mars 2020, p. 4). En effet, selon le passage mis en évidence par les recourants, le Tribunal fédéral indique que dans le cas d'espèce, les informations demandées reposent sur des documents bancaires et « qu'ils ne tombent pas du ciel » (Die Vermutungen, wonach der Beschwerdegegner 3 an einer der beiden Gesellschaften mit Sitz in der Schweiz beteiligt sei, sind nicht aus der Luft gegriffen, stützen sie sich doch auf Bankunterlagen, welche dem BD vorliegen). Par ailleurs, dans cette même jurisprudence, le Tribunal fédéral indique que même en l'absence d'éléments de preuves, de simples indices suffisent pour admettre qu'un renseignement est vraisemblablement pertinent (Einzig die Vermutung betreffend die Veräusserung von Immobilien durch die Beschwerdegegnerin 1 an die Kinder des Beschwerdegegners 3 erscheint nicht substanziiert. Dies spielt indessen keine Rolle, da genügend Indizien für eine steuerlich relevante Verbindung zwischen dem Beschwerdegegner 3 und den Beschwerdegegnerinnen 1 und 2 sprechen). Pour le surplus, le TF a retenu dans cette même affaire que le nom d'autres personnes de la famille (mère et fille) n'apparaissait pas par hasard dans des documents bancaires. Leur identité constituait un élément essentiel de la vérification de l'origine des fonds et elle était donc vraisemblablement pertinente (cf. arrêt du TF 2C_963/2014 du 24 septembre 2015 consid. 6.3 non publié in ATF 141 II 436). Ainsi, on ne peut pas déduire de cette jurisprudence que la pertinence vraisemblable de comptes bancaires ou de renseignements dépende, comme le soutiennent les recourants, de la présence d'éléments de preuves fermes à disposition de l'autorité requérante, lors de sa demande. La pertinence vraisemblable se détermine sur la base de la demande d'assistance et du principe de bonne foi. Au vu de ce qui précède, l'autorité requérante n'avait pas à mentionner expressément l'existence de la société H._______ et du Trust qui semble la détenir dans sa demande pour que ces informations soient vraisemblablement pertinentes. A toutes fins utiles, il sied de constater que les recourants reprochent à l'autorité inférieure de se substituer à l'autorité étrangère en empiétant sur le domaine de compétence de l'autorité requérante, mais qualifie dans le même temps juridiquement le trust et en tire la conclusion que les informations y relatives ne sont d'aucune utilité pour l'autorité fiscale indienne (recours du 18 novembre 2019, p.; Observations du 13 juillet 2020, p. 4). Quoiqu'il en soit, cette question de nature matérielle, n'a pas à être tranchée par la Cour de céans dont le contrôle se limite à la plausibilité et la pertinence vraisemblable (cf. consid. 6.3 supra).</w:t>
      </w:r>
    </w:p>
    <w:p>
      <w:r>
        <w:rPr>
          <w:b/>
        </w:rPr>
        <w:t>E. 6.3.3</w:t>
      </w:r>
    </w:p>
    <w:p>
      <w:r>
        <w:t>Informations relatives à la relation bancaires n°(...) détenues par I._______ Inc. Les recourants soutiennent que les informations requises concernant la société I._______ Inc. ne reposeraient pas sur des documents bancaires, doit être rejeté pour le même motif qu'invoqué avec la société H._______. La jurisprudence citée n'instaure en effet comme on l'a vu (consid. 6.3.2 supra) pas de nouvelles conditions mais expose dans un cas d'espèce donné en quoi les informations sont vraisemblablement pertinentes, celles-ci reposant notamment sur des documents bancaires et déclarations d'employés de banque. En outre, le fait que l'autorité requérante indique dans sa demande d'assistance du (...) « qu'elle est en possession d'informations spécifiques et aurait effectué un profilage interne » est, contrairement à ce qu'indique les recourants, suffisant pour retenir la pertinence vraisemblable des informations (cf. recours p. 8).</w:t>
      </w:r>
    </w:p>
    <w:p>
      <w:r>
        <w:rPr>
          <w:b/>
        </w:rPr>
        <w:t>E. 6.4</w:t>
      </w:r>
    </w:p>
    <w:p>
      <w:r>
        <w:t>Compte tenu de la jurisprudence du Tribunal fédéral du 13 juillet 2020 (arrêts du TF 2C_537/2019 consid. 3.5; 2C_545/2019 consid. 4.7) intervenue après la décision attaquée en l'espèce, l'autorité inférieure précisera au chiffre 3 de son dispositif, que les informations transmises ne pourront être utilisées qu'à l'encontre de A._______ dans le cadre d'une procédure conformément à l'art. 26 par. 2 CDI CH-IN. L'autorité fiscale indienne, n'a pour le surplus, pas violé le principe de spécialité et elle a même expressément indiqué que les informations reçues seront maintenues secrètes et utilisées dans le but découlant de la convention fondant sa demande (cf. demande du (...), ch. 17).</w:t>
      </w:r>
    </w:p>
    <w:p>
      <w:r>
        <w:rPr>
          <w:b/>
        </w:rPr>
        <w:t>E. 6.5</w:t>
      </w:r>
    </w:p>
    <w:p>
      <w:r>
        <w:t>Enfin, le Tribunal ne voit pas de motifs - et les recourants n'en soulèvent aucun - qui permettraient de remettre en doute le respect du principe de subsidiarité (cf. consid. 5.6 supra), l'autorité requérante ayant indiqué dans sa demande du (...) qu'elle avait épuisé toutes les sources possibles pour obtenir ces informations sans y aboutir. Au demeurant, rien ne laisse penser que le droit suisse ou le droit interne indien s'opposerait à la transmission à l'étranger des documents requis (cf. consid. 5.7 supra).</w:t>
      </w:r>
    </w:p>
    <w:p>
      <w:r>
        <w:rPr>
          <w:b/>
        </w:rPr>
        <w:t>E. 7</w:t>
      </w:r>
    </w:p>
    <w:p>
      <w:r>
        <w:t>Les recourants, qui succombent, doivent solidairement supporter les frais de procédure, lesquels se montent, compte tenu de la charge de travail liée à la procédure, à 12'500 francs (cf. art. 63 al. 1 PA et art. 4 du règlement du 21 février 2008 concernant les frais, dépens et indemnités fixés par le Tribunal administratif fédéral [FITAF, RS 173.320.2]). Ils seront prélevés sur l'avance de frais du même montant déjà versée. Vu l'issue de la cause, il n'y ainsi pas lieu d'allouer de dépens (cf.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