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A-6053/2019 vom 23. April 2021</w:t>
      </w:r>
    </w:p>
    <w:p>
      <w:r>
        <w:t>Bundesverwaltungsgericht, 2021-04-23, FR</w:t>
      </w:r>
    </w:p>
    <w:p>
      <w:r>
        <w:rPr>
          <w:b/>
        </w:rPr>
        <w:t xml:space="preserve">Quelle: </w:t>
      </w:r>
      <w:r>
        <w:t>https://mcp.opencaselaw.ch/entscheid/bvger_A-6053_2019</w:t>
      </w:r>
    </w:p>
    <w:p>
      <w:r>
        <w:t>FR: TAF A-6053/2019 du 23 avril 2021</w:t>
      </w:r>
    </w:p>
    <w:p>
      <w:r>
        <w:t>IT: TAF A-6053/2019 del 23 aprile 2021</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1.2</w:t>
      </w:r>
    </w:p>
    <w:p>
      <w:r>
        <w:t>La recourante a pris part à la procédure devant l'autorité inférieure. Etant la destinataire de la décision attaquée qui lui fait grief,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prévus par la loi, le recours est ainsi recevable et il convient d'entrer en matière.</w:t>
      </w:r>
    </w:p>
    <w:p>
      <w:r>
        <w:rPr>
          <w:b/>
        </w:rPr>
        <w:t>E. 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 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(cf. art. 13 PA ; arrêt du Tribunal fédéral [TF] 1C_604/2014 du 12 mai 2015 consid. 3.2.2 ; arrêts du Tribunal administratif fédéral [TAF] 2819/2019 du 12 novembre 2020 consid. 2.2, A-6798/2013 du 5 novembre 2014 consid. 4.4.1). A cet égard, le fardeau de l'allégation signifie que chaque partie doit expliciter de manière suffisamment précise les faits qu'elle entend établir au moyen de la preuve correspondante (cf. Jérôme Candrian, Introduction à la procédure administrative fédérale, 2013, Bâle, p. 43).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w:t>
      </w:r>
    </w:p>
    <w:p>
      <w:r>
        <w:t>L'objet du présent litige porte sur le point de savoir si l'autorité inférieure a agi de manière conforme au droit en impartissant à la recourante, par décision du 6 novembre 2019, un délai au 21 janvier 2020 pour transmettre le rapport de sécurité des installations électriques de son bâtiment à l'exploitant de réseau et en mettant à sa charge des émoluments d'un montant total de 732 francs pour l'établissement de dite décision. A ce titre, le Tribunal présentera le droit applicable (cf. infra consid. 4), puis examinera le bien-fondé des griefs de la recourante (cf. infra consid. 5).</w:t>
      </w:r>
    </w:p>
    <w:p>
      <w:r>
        <w:rPr>
          <w:b/>
        </w:rPr>
        <w:t>E. 4</w:t>
      </w:r>
    </w:p>
    <w:p>
      <w:r>
        <w:t>Le litige s'inscrit dans le cadre juridique suivant.</w:t>
      </w:r>
    </w:p>
    <w:p>
      <w:r>
        <w:rPr>
          <w:b/>
        </w:rPr>
        <w:t>E. 4.1</w:t>
      </w:r>
    </w:p>
    <w:p>
      <w:r>
        <w:t>Aux termes de l'art. 20 al. 1 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LIE. A teneur de l'art. 3 al. 1 de l'ordonnance du 7 novembre 2001 sur les installations électriques à basse tension (OIBT, RS 734.27),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Aux termes de l'art. 4 al. 1 OIBT,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Sur demande, il doit présenter un rapport de sécurité. Dans ce but, l'ordonnance précitée impose notamment un contrôle périodique de l'installation (cf. art. 36 OIBT).</w:t>
      </w:r>
    </w:p>
    <w:p>
      <w:r>
        <w:rPr>
          <w:b/>
        </w:rPr>
        <w:t>E. 4.2</w:t>
      </w:r>
    </w:p>
    <w:p>
      <w:r>
        <w:t>Conformément à l'art. 36 al. 1 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 cf. art. 36 al. 3 OIBT). La périodicité des contrôles pour les différentes installations est réglée dans l'annexe, l'ESTI pouvant autoriser des exceptions (cf. art. 36 al. 4 OIBT). Une prolongation de délai au motif d'une rénovation totale ou d'une réfection n'est pas exclue ; la sécurité des personnes, des choses et des animaux doit toutefois être garantie. Selon la jurisprudence du Tribunal fédéral, cette garantie de sécurité n'est plus remplie lorsque l'envoi d'un rapport de sécurité est repoussé d'année en année, au simple prétexte d'une possible rénovation ou réfection (cf. arrêt du TF 2C_922/2012 du 5 mars 2013 consid. 3.3 ; arrêt du TAF A-2819/2019 du 12 novembre 2020 consid. 4.2).</w:t>
      </w:r>
    </w:p>
    <w:p>
      <w:r>
        <w:rPr>
          <w:b/>
        </w:rPr>
        <w:t>E. 4.3</w:t>
      </w:r>
    </w:p>
    <w:p>
      <w:r>
        <w:t>Le rapport de sécurité doit contenir au moins les indications suivantes selon l'art. 37 LIE : l'emplacement de l'installation et l'adresse du propriétaire (let. a), la description de l'installation, y compris les normes appliquées et les particularités éventuelles (let. b), la périodicité du contrôle (let. c), le nom et l'adresse de l'installateur (let. d), les résultats du contrôle final propre à l'entreprise selon l'art. 24 (let. e), le nom et l'adresse du titulaire de l'autorisation de contrôler et les résultats du contrôle après un contrôle de réception selon l'art. 35, al. 4, et du contrôle périodique selon l'art. 36 (let. f). En outre, le rapport de sécurité doit être signé par les personnes qui ont effectué le contrôle et par une des personnes autorisées à contrôler dont le nom est mentionné dans l'autorisation d'installer (al. 2).</w:t>
      </w:r>
    </w:p>
    <w:p>
      <w:r>
        <w:rPr>
          <w:b/>
        </w:rPr>
        <w:t>E. 4.4</w:t>
      </w:r>
    </w:p>
    <w:p>
      <w:r>
        <w:t>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cf. entre autres arrêts du TAF A-2819/2019 du 12 novembre 2020 consid. 4.2, A-4999/2018 du 18 février 2020 consid. 4.2).</w:t>
      </w:r>
    </w:p>
    <w:p>
      <w:r>
        <w:rPr>
          <w:b/>
        </w:rPr>
        <w:t>E. 5.1</w:t>
      </w:r>
    </w:p>
    <w:p>
      <w:r>
        <w:t>La recourante fait valoir qu'elle a mandaté une entreprise pour s'occuper des travaux de mise en conformité de ses installations, travaux intégrés dans la réfection générale de son bâtiment. L'« avis d'installation unifié », qu'elle produit à l'appui de son recours, précise que les travaux prendront environ deux ans. Elle considère que ledit avis aurait dû entraîner une suspension automatique de la procédure. Elle produit également un échange de courriels démontrant, selon elle, que les travaux urgents pour des questions de sécurité ont été réalisés immédiatement.</w:t>
      </w:r>
    </w:p>
    <w:p>
      <w:r>
        <w:rPr>
          <w:b/>
        </w:rPr>
        <w:t>E. 5.2</w:t>
      </w:r>
    </w:p>
    <w:p>
      <w:r>
        <w:t>L'autorité inférieure, pour sa part, fait valoir qu'aucun rapport de sécurité, de contrôle ou de demande de prolongation de délai n'ont été déposés. L'« avis d'installation unifié » ne remplit pas les exigences légales. La recourante n'a pas allégué avoir mis en place une installation provisoire de chantier le temps des travaux de réfection, situation qui entraîne une suspension automatique de la procédure.</w:t>
      </w:r>
    </w:p>
    <w:p>
      <w:r>
        <w:rPr>
          <w:b/>
        </w:rPr>
        <w:t>E. 5.3.1</w:t>
      </w:r>
    </w:p>
    <w:p>
      <w:r>
        <w:t>En l'espèce, le Tribunal constate en premier lieu que l'« avis d'installation unifié » produit par la recourante à l'appui de son recours ne remplit pas les exigences légales relatives au rapport de sécurité. En particulier, ne figure pas de descriptions de l'installation et des normes appliquées, aucune information quant à la périodicité du contrôle, ni les résultats du contrôle final (cf. art. 37 al. 1 let. b, c, e et f OIBT). Il ne comporte pas plus les signatures exigées (cf. art. 37 al. 2 OIBT).</w:t>
      </w:r>
    </w:p>
    <w:p>
      <w:r>
        <w:rPr>
          <w:b/>
        </w:rPr>
        <w:t>E. 5.3.2</w:t>
      </w:r>
    </w:p>
    <w:p>
      <w:r>
        <w:t>En deuxième lieu, le Tribunal retient que la production de ce rapport n'était pas susceptible de justifier une suspension de la procédure relative à la production du rapport de sécurité. En effet, l'autorité inférieure relève dans sa réponse qu'en cas de réfection totale, le propriétaire est toujours libre de couper l'alimentation électrique de son bâtiment et de se contenter d'une installation provisoire de chantier pour la durée des travaux. En pareille situation, la procédure est généralement suspendue. Or, le Tribunal considère que l'on ne se trouve manifestement pas dans ce cas de figure, la recourante n'ayant jamais allégué avoir coupé l'alimentation électrique du stand de tir. Il s'ensuit que la recourante devait être en mesure de fournir un rapport de sécurité, puisque son installation était toujours fonctionnelle même durant le temps des travaux, afin de garantir la sécurité des personnes les exploitant et les utilisant (cf. art. 3 al. 1 OIBT). Bien plus, la recourante fait valoir que les travaux urgents ont été réalisés séance tenante, à savoir la rénovation des installations présentant un danger potentiel. Or, force est de constater que les pièces produites ne permettent pas de déterminer si les travaux ont effectivement été réalisés. En effet, les courriels du 29 janvier 2019 mentionnent seulement que l'entreprise mandatée va traiter les « défauts concernant la sécurité d'absence de PE [...] dès jeudi ». Rien n'indique qu'il y a été finalement procédé. De même, le premier courriel du représentant de la recourante faisait également état de prises cassées, dont il n'est pas fait mention dans le second courriel de l'entreprise. Enfin, la recourante ne saurait rien tirer du devis qu'elle produit également, afin de démontrer que les installations sont en cours de rénovation. En effet, il s'agit d'un devis, soit une offre, document par définition susceptible de modification, lequel n'est en outre pas signé. Certes, il en ressort qu'une partie des travaux les plus dangereux ont déjà été réalisés. Toutefois, il est également listé bon nombre d'éléments à remplacer, réparer ou contrôler. Surtout, il est prévu des horaires irréguliers de travail afin d'éviter des coupures de courant durant les heures normales d'activités du stand de tir, ce qui démontre bien que les installations électriques continuaient à fonctionner, sans qu'aucune garantie quant à la sécurité des installations existantes n'ait été apportée. Pour ces mêmes motifs, une prolongation de délai ne pouvait être envisagée, celle-ci étant conditionnée à un constat préalable d'éventuels défauts dangereux et à leur réparation. En conclusion, le propriétaire devait être en mesure de fournir un rapport de sécurité, afin d'assurer que l'exploitation et l'utilisation du stand pouvait se faire sans danger pour les personnes concernées. Une suspension de la procédure durant la réalisation des travaux de réfection n'était pas envisageable, dès lors que l'exploitation du stand se poursuivait. La sécurité des usagers doit en effet pouvoir être garantie en tout temps (cf. art. 3 et 5 OIBT).</w:t>
      </w:r>
    </w:p>
    <w:p>
      <w:r>
        <w:rPr>
          <w:b/>
        </w:rPr>
        <w:t>E. 5.4</w:t>
      </w:r>
    </w:p>
    <w:p>
      <w:r>
        <w:t>Cette conclusion s'impose d'autant plus que la recourante ne s'est jamais manifestée dans la procédure devant l'autorité inférieure pour expliquer les travaux qu'elle avait entrepris ni requis en conséquence une prolongation de délai. En somme, ce que la recourante souhaite, c'est la réforme de la décision attaquée en ce sens qu'une nouvelle prolongation de délai lui soit accordée, sans frais et sans menace d'amende en cas d'inexécution. Or, comme il ressort des faits, la décision a été prononcée après plusieurs rappels, de l'exploitant de réseau ainsi que de l'autorité inférieure, et l'attention de la recourante avait été expressément attirée sur le fait qu'une décision soumise à émolument serait rendue en cas d'inexécution. Quant à savoir si une nouvelle prolongation de délai pourrait - aurait pu - être accordée à la recourante, il s'agit d'une question qui sort de l'objet du litige. En effet, la recourante ne s'étant jamais manifestée devant les autorités de première instance, l'autorité inférieure ne s'est, par conséquent, pas prononcée sur ce point dans sa décision.</w:t>
      </w:r>
    </w:p>
    <w:p>
      <w:r>
        <w:rPr>
          <w:b/>
        </w:rPr>
        <w:t>E. 5.5</w:t>
      </w:r>
    </w:p>
    <w:p>
      <w:r>
        <w:t>En définitive, le rapport de sécurité n'a pas été envoyé par la recourante dans l'ultime délai imparti au 31 juillet 2019 par l'autorité inférieure. C'est donc à bon droit que celle-ci a rendu une décision pour exécution du contrôle soumise à émolument, comme elle l'avait annoncé préalablement.</w:t>
      </w:r>
    </w:p>
    <w:p>
      <w:r>
        <w:rPr>
          <w:b/>
        </w:rPr>
        <w:t>E. 5.6</w:t>
      </w:r>
    </w:p>
    <w:p>
      <w:r>
        <w:t>Enfin, le montant des émoluments n'est pas contesté par la recourante. La décision doit donc être confirmée sur ce point également.</w:t>
      </w:r>
    </w:p>
    <w:p>
      <w:r>
        <w:rPr>
          <w:b/>
        </w:rPr>
        <w:t>E. 6</w:t>
      </w:r>
    </w:p>
    <w:p>
      <w:r>
        <w:t>Il s'ensuit que le recours, mal fondé, doit être rejeté.</w:t>
      </w:r>
    </w:p>
    <w:p>
      <w:r>
        <w:rPr>
          <w:b/>
        </w:rPr>
        <w:t>E. 7</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de la recourante. Ils sont prélevés sur le montant équivalent de l'avance de frais déjà versée. Dans la mesure où la recourante succombe, il n'y a pas lieu de lui allouer une indemnité à titre de dépens (cf. art. 64 al. 1 PA a contrario). L'autorité inférieure n'y a également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