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A-6043/2020 vom 2. Juni 2022</w:t>
      </w:r>
    </w:p>
    <w:p>
      <w:r>
        <w:t>Bundesverwaltungsgericht, 2022-06-02, FR</w:t>
      </w:r>
    </w:p>
    <w:p>
      <w:r>
        <w:rPr>
          <w:b/>
        </w:rPr>
        <w:t xml:space="preserve">Quelle: </w:t>
      </w:r>
      <w:r>
        <w:t>https://mcp.opencaselaw.ch/entscheid/bvger_A-6043_2020</w:t>
      </w:r>
    </w:p>
    <w:p>
      <w:r>
        <w:t>FR: TAF A-6043/2020 du 2 juin 2022</w:t>
      </w:r>
    </w:p>
    <w:p>
      <w:r>
        <w:t>IT: TAF A-6043/2020 del 2 giugno 2022</w:t>
      </w:r>
    </w:p>
    <w:p>
      <w:pPr>
        <w:pStyle w:val="Heading2"/>
      </w:pPr>
      <w:r>
        <w:t>Regeste</w:t>
      </w:r>
    </w:p>
    <w:p>
      <w:r>
        <w:t>Assistance administrative</w:t>
      </w:r>
    </w:p>
    <w:p>
      <w:pPr>
        <w:pStyle w:val="Heading2"/>
      </w:pPr>
      <w:r>
        <w:t>Erwägungen</w:t>
      </w:r>
    </w:p>
    <w:p>
      <w:r>
        <w:rPr>
          <w:b/>
        </w:rPr>
        <w:t>E. 5.1.1</w:t>
      </w:r>
    </w:p>
    <w:p>
      <w:r>
        <w:t>La recourante estime d'abord que la demande du 11 mai 2016 constituerait une pêche aux renseignements proscrite sous l'angle temporel dès lors que les listes B et C - sur lesquelles se fondent ladite demande - datent de 2006 et 2008, soit plusieurs années avant le début de la période pour laquelle les renseignements sont demandés, à savoir 2010 à 2015. Selon la recourante, l'autorité requérante ne disposerait d'aucun élément rendant vraisemblable que les personnes qui détenaient un compte entre 2006 et 2008 en possédaient encore un durant la période sous contrôle.</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ci-avant consid. 4.2)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la recourante ne permettent pas de conclure que la demande litigieuse constituerait une fishing expedition et violerait le principe de la pertinence vraisemblable.</w:t>
      </w:r>
    </w:p>
    <w:p>
      <w:r>
        <w:rPr>
          <w:b/>
        </w:rPr>
        <w:t>E. 5.1.3</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ci-avant (cf. consid. 5.1.2),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 la recourante - que celle-ci constituerait une pêche aux renseignements proscrite sous l'angle temporel. C'est par ailleurs également dans ce sens que la jurisprudence la plus récente de la Cour de céans a jugé cette question juridique (cf. arrêts du TAF A-3045/2020, A-3047/2020 et A-3048/2020, tous du 29 mars 2021 consid. 5.1.3 [le TF a déclaré irrecevable les recours déposés contre ces décisions : cf. notamment arrêt du TF 2C_320/2021 du 30 avril 2021]).</w:t>
      </w:r>
    </w:p>
    <w:p>
      <w:r>
        <w:rPr>
          <w:b/>
        </w:rPr>
        <w:t>E. 5.1.4</w:t>
      </w:r>
    </w:p>
    <w:p>
      <w:r>
        <w:t>Au vu de tout ce qui précède, le grief invoqué par la recourante doit être rejeté.</w:t>
      </w:r>
    </w:p>
    <w:p>
      <w:r>
        <w:rPr>
          <w:b/>
        </w:rPr>
        <w:t>E. 5.2.1</w:t>
      </w:r>
    </w:p>
    <w:p>
      <w:r>
        <w:t>Au moyen d'un deuxième grief, la recourante reproche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son grief, la recourante avance que la demande du 11 mai 2016 reposerait sur deux infractions punissables au regard du droit suisse, à savoir l'espionnage économique - c'est-à-dire l'achat illégal par le Land allemand de Rhénanie du Nord-Westphalie d'un CD de données - et la violation du secret bancaire - soit le transport et l'enregistrement sur le territoire allemand des données des clients d'UBS Switzerland AG par un ancien employé de la banque. Selon elle, il existerait un lien de causalité entre ces actes punissables et l'obtention par la France des données sur lesquelles serait fondée la demande litigieuse dès lors que, sans le transfert illicite de données d'UBS Switzerland AG dans les serveurs d'UBS Deutschland AG et sans l'achat dudit CD, aucune perquisition n'aurait pu avoir lieu et les données fondant la requête du 11 mai 2016 n'auraient pas été découvertes. De surcroît, la recourante argue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les demandes d'assistance administrative fondées sur des données volées, comme celles du cas d'espèce.</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ci-avant consid. A.b). De surcroît, l'AFC précise dans les décisions finales attaquées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décisions finales de l'AFC, ch. 6.4).</w:t>
      </w:r>
    </w:p>
    <w:p>
      <w:r>
        <w:rPr>
          <w:b/>
        </w:rPr>
        <w:t>E. 5.2.3</w:t>
      </w:r>
    </w:p>
    <w:p>
      <w:r>
        <w:t>Sur la base des faits tels que décrits ci-avant, il convient d'examiner si la demande litigieuse repose sur des données volées comme la recourante l'allègue.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la recourante,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la recourante ne le soutient à juste titre pas.</w:t>
      </w:r>
    </w:p>
    <w:p>
      <w:r>
        <w:rPr>
          <w:b/>
        </w:rPr>
        <w:t>E. 5.2.3.2</w:t>
      </w:r>
    </w:p>
    <w:p>
      <w:r>
        <w:t>Quant à l'existence d'un lien de causalité entre les données prétendument volées et la demande d'assistance administrative, dont se prévaut la recourante,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ci-avant consid. A.b et 5.2.2).</w:t>
      </w:r>
    </w:p>
    <w:p>
      <w:r>
        <w:rPr>
          <w:b/>
        </w:rPr>
        <w:t>E. 5.2.4</w:t>
      </w:r>
    </w:p>
    <w:p>
      <w:r>
        <w:t>Au vu de tout ce qui précède, le grief invoqué par la recourante doit être rejeté.</w:t>
      </w:r>
    </w:p>
    <w:p>
      <w:r>
        <w:rPr>
          <w:b/>
        </w:rPr>
        <w:t>E. 5.3.1</w:t>
      </w:r>
    </w:p>
    <w:p>
      <w:r>
        <w:t>Dans un troisième grief, la recourante avance que le principe de spécialité ne serait pas respecté dans le cas d'espèce. A l'appui de son grief, elle argue en substance qu'elle n'aurait reçu aucune garantie que ses données ne seraient pas utilisées à son encontre par les autorités pénales françaises, ce d'autant plus qu'une dénonciation par la DGFiP aux autorités de poursuite pénale serait obligatoire selon l'article L. 228 du livre (français) des procédures fiscales. Dans ce contexte, la recourante avance que la garantie du principe de spécialité formulée par l'autorité française le 2 janvier 2020 concernerait uniquement la banque UBS et non ses clients. Elle sollicite dès lors de l'AFC, dans un chef de conclusions formulé à titre subsidiaire, que celle-ci obtienne de l'autorité requérante une garantie expresse en sa faveur, sans toutefois que son identité ne soit divulguée à la DGFiP.</w:t>
      </w:r>
    </w:p>
    <w:p>
      <w:r>
        <w:rPr>
          <w:b/>
        </w:rPr>
        <w:t>E. 5.3.2</w:t>
      </w:r>
    </w:p>
    <w:p>
      <w:r>
        <w:t>A titre liminaire, la Cour de céans relève que le Tribunal fédéral a jugé - d'une manière qui la lie - que l'autorité française avait fourni des garanties suffisantes concernant le principe de spécialité. La Haute Cour a ainsi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ci-avant consid. D).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décisions finales de l'AFC, ch. 8.2).</w:t>
      </w:r>
    </w:p>
    <w:p>
      <w:r>
        <w:rPr>
          <w:b/>
        </w:rPr>
        <w:t>E. 5.3.3</w:t>
      </w:r>
    </w:p>
    <w:p>
      <w:r>
        <w:t>Par surabondance de moyens, la Cour de céans relève qu'elle ne nie pas que les différentes garanties fournies par la France en lien avec le respect du principe de spécialité, telles que décrites dans le consid. 5.3.2 ci-avant, concernent pour l'essentiel la banque UBS. Toutefois, on ne saurait déduire a contrario que l'autorité requérante entendrait violer le principe de spécialité à l'égard de la recourante. En effet, ni les éléments du dossier ni les affirmations de la recourante - formulées de manière hypothétique - ne prouvent, ni même n'étayent, le fait prétendu que les informations relatives à la recourante pourraient être utilisées en violation du principe de spécialité. La garantie formulée par la DGFiP doit aussi être comprise à l'aune du caractère collectif de la demande qu'elle a présentée le 11 mai 2016 et concerne ainsi aussi des clients ou ex-clients de la banque UBS. Il n'y a donc pas lieu de retenir que les renseignements relatifs à la recourante pourraient être utilisés dans le cadre d'une procédure pénale, au détriment de tiers ou encore qu'ils seront utilisés autrement que pour procéder à la taxation envisagée par l'autorité requérante, sauf à adopter une attitude de défiance et de remise en cause de la bonne foi, ce que le Tribunal fédéral a précisément jugé inadmissible (ATF 142 II 161 consid. 2.3). Dès lors, il y a lieu de considérer que les craintes de la recourante quant à une violation du principe de spécialité à son égard demeurent au stade de la conjecture toute générale. De surcroît, la Cour de céans observe qu'au ch. 3 du dispositif des décisions litigieuses, l'autorité inférieure appelle spécifiquement l'autorité française au respect dudit principe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w:t>
      </w:r>
    </w:p>
    <w:p>
      <w:r>
        <w:rPr>
          <w:b/>
        </w:rPr>
        <w:t>E. 5.3.4</w:t>
      </w:r>
    </w:p>
    <w:p>
      <w:r>
        <w:t>Au vu de tout ce qui précède, le chef de conclusions subsidiaire de la recourante, visant à obtenir une garantie expresse de l'autorité française quant au respect du principe de spécialité à son égard, doit être rejeté.</w:t>
      </w:r>
    </w:p>
    <w:p>
      <w:r>
        <w:rPr>
          <w:b/>
        </w:rPr>
        <w:t>E. 5.4.1</w:t>
      </w:r>
    </w:p>
    <w:p>
      <w:r>
        <w:t>En dernier lieu, il sied encore d'examiner le chef de conclusions de la recourante tendant à ce qu'il soit ordonné à l'AFC de produire les pièces mentionnées dans les décisions attaquées auxquelles elle n'aurait pas eu accès, à savoir la déclaration des autorités fiscales allemandes dans le cadre d'une procédure d'assistance administrative parallèle en cours et le mandat de perquisition émis par le parquet de Bochum le 3 juillet 2013.</w:t>
      </w:r>
    </w:p>
    <w:p>
      <w:r>
        <w:rPr>
          <w:b/>
        </w:rPr>
        <w:t>E. 5.4.2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5.4.3</w:t>
      </w:r>
    </w:p>
    <w:p>
      <w:r>
        <w:t>Force est ici de constater - au vu de tout ce qui précède - que le contenu exact de la déclaration des autorités fiscales allemandes faite dans le cadre d'une procédure d'assistance administrative parallèle ainsi que le mandat de perquisition délivré par le parquet de Bochum le 3 juillet 2013 n'ont aucune incidence dans le cas d'espèce sur l'évaluation des conditions matérielles de la requête faite par la DGFiP. De surcroît, et contrairement à ce qu'invoque la recourante, il est relevé que le contenu des pièces précitées ressort explicitement des décisions attaquées. Dans la mesure où les éléments essentiels sur la base desquels l'autorité inférieure a fondé ses décisions figurent dans le dossier, il n'est pas déterminant de savoir si ces éléments figurent également dans d'autres documents qui auraient été soustraits à l'appréciation de la recourante.</w:t>
      </w:r>
    </w:p>
    <w:p>
      <w:r>
        <w:rPr>
          <w:b/>
        </w:rPr>
        <w:t>E. 5.4.4</w:t>
      </w:r>
    </w:p>
    <w:p>
      <w:r>
        <w:t>Dans ces circonstances, il y a lieu de rejeter le chef de conclusions de la recourante tendant à la production desdites pièces par l'AFC.</w:t>
      </w:r>
    </w:p>
    <w:p>
      <w:r>
        <w:rPr>
          <w:b/>
        </w:rPr>
        <w:t>E. 6.1</w:t>
      </w:r>
    </w:p>
    <w:p>
      <w:r>
        <w:t>Vu les considérants qui précèdent, les recours sont rejetés. La recourante, qui succombe, doit supporter les frais de procédure, lesquels se montent, compte tenu de la charge de travail liée à la procédure, à 5'000 francs (cf. l'art. 63 al. 1 PA et art. 4 du règlement du 21 février 2008 concernant les frais, dépens et indemnités fixés par le TAF [FITAF, RS 173.320.2]). Ils seront prélevés sur l'avance de frais déjà versée d'un montant total de 10'000 francs.</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