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A-6030/2011 vom 30. Juli 2012</w:t>
      </w:r>
    </w:p>
    <w:p>
      <w:r>
        <w:t>Bundesverwaltungsgericht, 2012-07-30, DE</w:t>
      </w:r>
    </w:p>
    <w:p>
      <w:r>
        <w:rPr>
          <w:b/>
        </w:rPr>
        <w:t xml:space="preserve">Quelle: </w:t>
      </w:r>
      <w:r>
        <w:t>https://mcp.opencaselaw.ch/entscheid/bvger_A-6030_2011</w:t>
      </w:r>
    </w:p>
    <w:p>
      <w:r>
        <w:t>FR: TAF A-6030/2011 du 30 juillet 2012</w:t>
      </w:r>
    </w:p>
    <w:p>
      <w:r>
        <w:t>IT: TAF A-6030/2011 del 30 luglio 2012</w:t>
      </w:r>
    </w:p>
    <w:p>
      <w:pPr>
        <w:pStyle w:val="Heading2"/>
      </w:pPr>
      <w:r>
        <w:t>Regeste</w:t>
      </w:r>
    </w:p>
    <w:p>
      <w:r>
        <w:t>Kernenergie</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und eine Vorinstanz gemäss Art. 33 oder 34 VGG ent­schieden hat. Eine Ausnahme, was das Sachgebiet angeht, ist hier nicht gegeben bzw. die auf dem Gebiet der Kernenergie bestehenden Aus­schlussgründe treffen vorliegend nicht zu (vgl. Art. 32 Abs. 1 Bst. e VGG). Das UVEK ist eine Vorinstanz im Sinne von Art. 33 Bst. d VGG. Dem­nach ist das Bundesverwaltungsgericht für die Beurteilung der am 3. No­vember 2011 erhobenen Beschwerde gegen die Verfügung des UVEK vom 30. September 2011 zuständig. Das Verfahren richtet sich nach dem VwVG, soweit das VGG nichts anderes bestimmt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Beschwerdeführenden haben am vorinstanzlichen Verfah­ren teilgenommen, sind als Anwohner des KKW Mühleberg durch die an­gefochtene Verfügung besonders berührt und haben ein schutzwürdiges Interesse an deren Aufhebung. Sie sind deshalb legitimiert.</w:t>
      </w:r>
    </w:p>
    <w:p>
      <w:r>
        <w:rPr>
          <w:b/>
        </w:rPr>
        <w:t>E. 1.3</w:t>
      </w:r>
    </w:p>
    <w:p>
      <w:r>
        <w:t>Im Beschwerdeverfahren vor Bundesverwaltungsgericht obliegt die Be­stimmung des Streitgegenstandes grundsätzlich den Parteien (André Mo­ser/Michael Beusch/Lorenz Kneubühler, Prozessieren vor dem Bun­desverwaltungsgericht, Basel 2008, Rz. 3.198). Der Streitgegenstand de­finiert sich durch den Gegenstand des angefochtenen Entscheids (dieser bildet das Anfechtungsobjekt) und durch die Parteibegehren, wobei der angefochtene Entscheid den möglichen Streitgegenstand begrenzt (BGE 133 II 181 E. 3.3 mit Hinweis). Nach der Rechtsprechung ist derjeni­ge, auf dessen Begehren bzw. Rechtsmittel nicht eingetreten worden ist, befugt, durch die ordentliche Beschwerdeinstanz überprüfen zu lassen, ob dieser Nichteintretensentscheid zu Recht ergangen ist (BGE 124 II 499 E. 1). In einer Beschwerde gegen einen Nichteintretensentscheid kann somit nur geltend gemacht werden, die Vorinstanz habe zu Unrecht das Vorliegen der Eintretensvoraussetzungen verneint. Damit bleibt der Streit­gegenstand auf die Eintretensfrage beschränkt, deren Verneinung als Verlet­zung von Bundesrecht mit Beschwerde gerügt werden kann (BGE 132 V 74 E. 1.1). Die beschwerdeführende Partei kann entsprechend nur die Anhandnahme beantragen, nicht aber einen materiellen Ent­scheid in der Streitsache verlangen. Mit anderen Worten ist auf materiel­le Begehren nicht einzutreten (vgl. zum Ganzen statt vieler: Urteil des Bun­desverwaltungsgerichts A-6922/2011 vom 30. April 2012 E. 1.3 mit Hin­weisen; Moser/Beusch/Kneubühler, a.a.O., Rz. 2.164). Die Beschwerdeführenden beantragen nicht die Überprüfung des gesam­ten vorinstanzlichen Entscheids, sondern haben den Streitgegenstand auf das Nichteintreten auf das Gesuch um Entzug der Betriebsbewilligung und die Kostenauferlegung beschränkt. Eine materielle Beurteilung des Ge­suchs ist nicht Gegenstand dieses Verfahrens, da die Vorinstanz diese sel­ber noch nicht vorgenommen hat.</w:t>
      </w:r>
    </w:p>
    <w:p>
      <w:r>
        <w:rPr>
          <w:b/>
        </w:rPr>
        <w:t>E. 1.4</w:t>
      </w:r>
    </w:p>
    <w:p>
      <w:r>
        <w:t>Auf die frist- und formgerecht eingereichte Beschwerde (vgl. Art. 50 und Art. 52 VwVG) ist somit einzutreten.</w:t>
      </w:r>
    </w:p>
    <w:p>
      <w:r>
        <w:rPr>
          <w:b/>
        </w:rPr>
        <w:t>E. 2</w:t>
      </w:r>
    </w:p>
    <w:p>
      <w:r>
        <w:t>Das Bundesverwaltungsgericht entscheidet grundsätzlich mit uneinge­schränk­ter Kognition. Es überprüft die angefochtene Verfügung respekti­ve das angefochtene Urteil auf Rechtsverletzungen - einschliesslich unrich­tiger oder unvollständiger Feststellung des rechtserheblichen Sachver­halts und Rechtsfehler bei der Ausübung des Ermessens - sowie auf An­gemessenheit (Art. 49 VwVG).</w:t>
      </w:r>
    </w:p>
    <w:p>
      <w:r>
        <w:rPr>
          <w:b/>
        </w:rPr>
        <w:t>E. 3</w:t>
      </w:r>
    </w:p>
    <w:p>
      <w:r>
        <w:t>Der Entscheid des Bundesrates unterliegt der Genehmigung durch die Bun­desversammlung.</w:t>
      </w:r>
    </w:p>
    <w:p>
      <w:r>
        <w:rPr>
          <w:b/>
        </w:rPr>
        <w:t>E. 3.1</w:t>
      </w:r>
    </w:p>
    <w:p>
      <w:r>
        <w:t>Das KEG regelt die Betriebsbewilligung in Art. 19 ff. Es handelt sich um eine so genannte Dauerverfügung, da sie die Beschwerdegegnerin zum fortdauernden Betrieb des KKW berechtigt (Riccardo Jagmetti, Ener­gierecht, in: Koller/Müller/Rhinow/Zimmerli [Hrsg.], Schweizerisches Bun­desverwaltungsrecht, Bd. VII, Basel 2005, Rz. 1523, 5415, 5419 und 5464). Zurzeit ist die Frage der Befristung noch nicht rechtskräftig entschie­den (vgl. Sachverhalt Bst. A). Dies ändert aber an der Qualifikation als Dauerverfügung nichts, da sowohl unbefristete wie auch befristete Be­wil­ligungen Dauerverfügungen sein können: Entscheidend ist, dass ihnen wie im vorliegenden Fall ein zeitlich offener Sachverhalt bzw. ein offenes Tat­sachenfundament zu Grunde liegt, das sich während der Geltungsdau­er der Verfügung verändern kann (Urteil des Bundesgerichts 2C_572/2010 vom 23. März 2011 E. 7.2; Urteile des Bundesverwaltungs­ge­richts A-1175/2011 vom 28. März 2012 E. 4.3.1 und A-3505, 3516/2011 vom 26. März 2012 E. 9.3.1; Ulrich Häfelin/Georg Müller/Felix Uhlmann, Allgemeines Verwaltungsrecht, 6. Aufl., Zürich/St. Gallen 2010, Rz. 999; Pierre Tschannen/Ulrich Zimmerli/Markus Müller, Allgemei­nes Verwaltungsrecht, 3. Aufl., Bern 2009, § 28 Rz. 78).</w:t>
      </w:r>
    </w:p>
    <w:p>
      <w:r>
        <w:rPr>
          <w:b/>
        </w:rPr>
        <w:t>E. 3.2</w:t>
      </w:r>
    </w:p>
    <w:p>
      <w:r>
        <w:t>In Art. 65 ff. KEG sind die Änderung, Übertragung, der Entzug und das Erlöschen von Verfügungen geregelt (fünfter Abschnitt des sechsten Ka­pitels). Art. 67 KEG, auf dessen Überprüfung die Anträge der Beschwer­deführenden abzielen, lautet: 1 Die Bewilligungsbehörde entzieht die Bewilligung, wenn: a. die Voraussetzungen für die Erteilung nicht oder nicht mehr erfüllt sind; b. der Bewilligungsinhaber eine Auflage oder eine verfügte Massnah­me trotz Mahnung nicht erfüllt. 2 Über den Entzug der Rahmenbewilligung entscheidet der Bundesrat.</w:t>
      </w:r>
    </w:p>
    <w:p>
      <w:r>
        <w:rPr>
          <w:b/>
        </w:rPr>
        <w:t>E. 3.3</w:t>
      </w:r>
    </w:p>
    <w:p>
      <w:r>
        <w:t>In Art. 67 Abs. 1 KEG ist nicht ausdrücklich von Betriebsbewilligung die Rede, sondern allgemeiner von Bewilligung. Die Norm ist im Abschnitt "Än­derung, Übertragung, Entzug und Erlöschen von Verfügungen" eingeord­net, der aufgrund der Verwendung des allgemeinen Begriffs Verfügung auch die Betriebsbewilligung erfasst. Dies ergibt sich auch aus ihrer Syste­matik: Art. 67 KEG spricht in den Absätzen 2 bis 5 ausdrücklich von der Rah­menbewilligung (vgl. dazu Art. 12 ff. KEG), verwendet hingegen in Abs. 1 den allgemeineren Begriff Bewilligung, woraus sich ergibt, dass die Be­triebsbewilligung mitgemeint sein muss. Davon ging auch der Bundesrat in der Botschaft zum KEG aus, zumal er im Zusammenhang mit dieser Norm ausführ­te, der Entzug der Rahmenbewilligung wirke sich zwar auf die Betriebs­bewilligung aus, andererseits müsse ein Entzug der Betriebsbe­willigung keine Auswirkungen auf die Rahmenbewilligung haben (vgl. auch Art. 67 Abs. 4 KEG; Botschaft zu den Volksinitiativen "Moratorium Plus - Für die Verlängerung des Atomkraftwerk-Baustopps und die Begren­zung des Atomrisikos [MoratoriumPlus]" und "Strom ohne Atom - Für eine Energiewende und die schrittweise Stilllegung der Atomkraftwerke [Strom ohne Atom]" sowie zu einem Kernenergiegesetz vom 28. Februar 2001, BBl 2001 S. 2665 ff.; nachfolgend Botschaft zum KEG, S. 2790; s.a. Jagmetti, a.a.O., Rz. 5415, 5418 f., 5464 und v.a. 5468). Art. 67 Abs. 1 KEG ist somit für den Entzug der Betriebsbewilligung massgebend und diesbezüglich näher zu prüfen.</w:t>
      </w:r>
    </w:p>
    <w:p>
      <w:r>
        <w:rPr>
          <w:b/>
        </w:rPr>
        <w:t>E. 3.4</w:t>
      </w:r>
    </w:p>
    <w:p>
      <w:r>
        <w:t>Aus dem Wortlaut der Norm ergibt sich die Zuständigkeit der Vorinstanz für den Entzug der Betriebsbewilligung, da sie diese erteilt (Art. 19 ff. KEG).</w:t>
      </w:r>
    </w:p>
    <w:p>
      <w:r>
        <w:rPr>
          <w:b/>
        </w:rPr>
        <w:t>E. 3.5</w:t>
      </w:r>
    </w:p>
    <w:p>
      <w:r>
        <w:t>Art. 67 Abs. 1 KEG sieht den Entzug der Betriebsbewilligung durch die Bewilligungsbehörde vor, wenn die Voraussetzungen für deren Erteilung nicht oder nicht mehr erfüllt sind (Bst. a) respektive wenn der Bewilli­gungs­inhaber eine Auflage oder eine verfügte Massnahme trotz Mahnung nicht erfüllt (Bst. b). Aufgrund des Wortlauts von Art. 67 Abs. 1 KEG ist nicht eindeutig, ob diese beiden Voraussetzungen kumulativ oder alternativ zu verstehen sind, da Bst. a und b weder mit dem Wort "oder" noch mit dem Wort "und" verbunden sind. In der Botschaft zum KEG hat sich der Bun­desrat nicht dazu geäussert. Die Systematik des Absatzes, in dem die­se beiden Varianten nacheinander je mit einem Bst. gleichwertig aufge­listet werden, spricht für das Genügen einer der beiden Voraussetzungen (in diesem Sinn wohl auch Jagmetti, a.a.O., Rz. 5468). Dies ergibt sich insbesondere auch aus der Systematik und dem Wortlaut der französi­schen Fassung, in der sowohl Bst. a wie auch Bst. b den Einleitungs­satz "L'autorité qui a accordé une autorisation la retire" mit "si" fort­setzen, also beide Varianten eigenständig nennen. Für den Entzug einer Betriebs­bewilligung genügt es infolgedessen, wenn Art. 67 Abs. 1 Bst. a oder Bst. b alternativ erfüllt sind. Für die Erfüllung des Tatbestands des Bst. a muss deshalb nicht vorgängig gemahnt werden.</w:t>
      </w:r>
    </w:p>
    <w:p>
      <w:r>
        <w:rPr>
          <w:b/>
        </w:rPr>
        <w:t>E. 3.6</w:t>
      </w:r>
    </w:p>
    <w:p>
      <w:r>
        <w:t>Es bleibt zu prüfen, aus welchem Anlass die Bewilligungsbehörde eine Überprüfung veranlassen oder wann sie auf ein entsprechendes Gesuch eintreten muss.</w:t>
      </w:r>
    </w:p>
    <w:p>
      <w:r>
        <w:rPr>
          <w:b/>
        </w:rPr>
        <w:t>E. 3.6.1</w:t>
      </w:r>
    </w:p>
    <w:p>
      <w:r>
        <w:t>Da Art. 67 Abs. 1 KEG die Entzugsgründe ausdrücklich nennt, hat eine Überprüfung der Betriebsbewilligung zu erfolgen, wenn ein konkreter, hinreichend begründeter Verdacht besteht, dass ein Entzugsgrund vor­liegen könnte. Daran ändert auch die Verantwortung des ENSI für die lau­fende Aufsicht nichts (vgl. Art. 70 ff. KEG), zumal Art. 72 Abs. 3 KEG den Aufsichtsbehörden (nur) beim Drohen einer unmittelbaren Gefahr die Kom­petenz einräumt, umgehend Massnahmen anzuordnen, die von der er­teilten Bewilligung oder Verfügung abweichen. Die im bundesverwaltungs­gerichtlichen Urteil über die Befristung gemachten Überlegungen zum Verhältnis von Bewilligungs- und Aufsichtsbehörden gelten nicht nur für die Bewilligungserteilung oder die Befristung der Betriebsbewilligung (vgl. insb. E. 3.3 und E. 5.2 des noch nicht rechtskräftigen Urteils des Bun­desverwaltungsgerichts A-667/2010 vom 1. März 2012), sondern auch für den Entzug der Betriebsbewilligung, da hierfür ebenfalls die Vorinstanz verantwortlich ist. Demnach trägt die Vorinstanz als Bewilligungsbe­hörde die Verantwortung für deren Erteilung und auch deren Entzug. Wenn hinreichend Anhaltspunkte für das Vorliegen von Bewilligungsentzugsgründen vorliegen, hat die Vorinstanz diese materiell zu überprüfen und muss hierfür die erforderlichen Sachverhaltsabklärungen veranlassen (vgl. Art. 12 VwVG). In der nachfolgenden Erwägung 3.7 wird darauf einge­gangen, ob die Vorbringen der Beschwerdeführenden einen hinreichen­den Grund für eine Überprüfung darstellen.</w:t>
      </w:r>
    </w:p>
    <w:p>
      <w:r>
        <w:rPr>
          <w:b/>
        </w:rPr>
        <w:t>E. 3.6.2</w:t>
      </w:r>
    </w:p>
    <w:p>
      <w:r>
        <w:t>Wie die nachfolgenden Ausführungen zeigen, bestätigen die allgemei­nen Grundsätze zur Anpassung von Verfügungen die spezialgesetzliche Regelung von Art. 67 Abs. 1 KEG, wonach eine Überprüfung zu erfol­gen hat, wenn sich wesentliche Grundlagen geändert haben (vgl. zur Anwend­barkeit der allgemeinen Grundsätze BGE 127 II 306 E. 7a; Urteil des Bundesverwaltungsgerichts A-1291/2011 vom 3. Oktober 2011 E. 4.1; Hä­felin/Müller/Uhlmann, a.a.O., Rz. 997 ff.; Tschannen/Zimmerli/Mül­ler, a.a.O., § 31 Rz. 35; Annette Guckelberger, Der Widerruf von Verfü­gungen im schweizerischen Verwaltungsrecht, in: ZBl 2007 S. 293 ff., S. 297; Jagmetti, a.a.O. Rz. 5418, und 1522 f). Ob eine Verfügung anzupassen ist, wird gemäss den allgemeinen Grund­sät­zen in zwei Schritten geprüft. Zunächst ist zu untersuchen, ob ausreichen­de Gründe vorliegen, um auf eine formell rechtskräftige Verfügung über­haupt zurückzukommen (Tschannen/Zimmerli/Müller, a.a.O, § 31 Rz. 30). Diese Frage stellt sich im vorliegenden Fall. Erst in einem zweiten Schritt beurteilt die Behörde die Angelegenheit materiell, wobei sie zwi­schen dem Interesse an der richtigen Anwendung des objektiven Rechts einerseits und dem Interesse an der Rechtssicherheit und dem Ver­trauensschutz andererseits abwägt (BGE 137 I 69 E. 2.3; BGE 127 II 306 E. 7a mit zahlreichen Hinweisen; BVGE 2007/29 E. 4.2; aus der neue­ren Praxis des Bundesverwaltungsgerichts Urteil A-4777/2011 vom 5. Ap­ril 2012 E. 5.2 mit zahlreichen Hinweisen; Häfelin/Müller/Uhl­mann, a.a.O., Rz. 997 ff.; Tschannen/Zimmerli/Müller, a.a.O, § 31 Rz. 30, 49 ff.; Guckelberger, a.a.O., S. 298 ff.). Bei Dauerverfügungen droht eine allfällige Fehlerhaftigkeit auf bestimmte oder gar unbestimmte Zeit fortzudauern, weshalb mit Blick auf das öffentli­che Interesse an einer richtigen Rechtsanwendung grundsätzlich ein Anspruch darauf besteht, eine fehlerhafte Verfügung trotz formeller Rechts­kraft in Wiedererwägung zu ziehen (BGE 127 II 306 E. 7a; statt vieler auch Urteil des Bundesverwaltungsgerichts A-4777/2011 vom 5. April 2012 E. 5.2 mit zahlreichen Hinweisen; Häfelin/Müller/Uhlmann, a.a.O., Rz. 999; Tschannen/Zimmerli/Müller, a.a.O, § 31 Rz. 40 ff.; Guckel­berger, a.a.O., S. 297). Dies kann z.B. der Fall sein, wenn sich der Sachverhalt nachträglich ändert und die Verfügung dadurch fehlerhaft wird. Ein Anspruch auf ein Anpassungsverfahren ergibt sich aus Art. 29 der Bundesverfassung der Schweizerischen Eidgenossenschaft vom 18. April 1999 (BV, SR 101), wenn sich die Umstände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136 II 177 E. 2.1 und BGE 127 I 133 E. 6 je mit Hinweisen auf die langjährige Praxis des Bundesgerichts; vgl. statt vieler auch Urteil des Bundesverwaltungsgerichts A-1175/2011 vom 28. März 2012 E. 4.1 mit Hinweisen; Häfelin/Müller/Uhlmann, a.a.O., Rz. 1042 ff.; Tschannen/Zim­merli/Müller, a.a.O, § 31 Rz. 46; Guckelberger, a.a.O., S. 311 mit zahlreichen Hinweisen). Die Gesuchstellenden haben darzulegen, weshalb die Verfügung fehlerhaft sein soll. Hierbei fallen nur bedeutsame Mängel ins Gewicht; namentlich dürfen Wiedererwägungsgesuche nicht dazu führen, dass rechtskräfti­ge Verwaltungsentscheide immer wieder infrage gestellt oder Rechtsmittel­fristen umgangen werden (BGE 136 II 177 E. 2.1 und 127 I 133 E. 6 je mit Hinweisen; Tschannen/Zimmerli/Müller, a.a.O, § 31 Rz. 41 ff.; Guckel­berger, a.a.O., S. 311). Der Anstoss zur Anpassung einer Verfügung kann auch von Dritten aus­ge­hen, wenn diese wie vorliegend aufgrund ihrer Nähe zum KKW Mühle­berg ein schutzwürdiges Interesse an der Prüfung der Bewilligung haben und, soweit eine anfechtbare Verfügung vorliegt, beschwerdeberechtigt sind (vgl. Alfred Kölz/Isabelle Häner, Verwaltungsverfahren und Verwal­tungsrechtspflege des Bundes, 2. Aufl., Zürich 1998, Rz. 441; vgl. auch BGE 127 II 306, in dem Dritte den Anstoss zum Verfahren gaben).</w:t>
      </w:r>
    </w:p>
    <w:p>
      <w:r>
        <w:rPr>
          <w:b/>
        </w:rPr>
        <w:t>E. 3.7</w:t>
      </w:r>
    </w:p>
    <w:p>
      <w:r>
        <w:t>Die Beschwerdeführenden begründeten ihr Gesuch um Entzug der Be­triebsbewilligung eingehend und belegten ihre Rügen präzise (vgl. die Zu­sammenfassung in Sachverhalt Bst. B). Zwar sind die Vorbringen aufgrund der verschiedenen Eingaben etwas unübersichtlich. Jedoch legten sie bereits in ihrem ersten Gesuch vom 21. März 2011 dar, weshalb bezüg­lich zentraler Sicherheitsaspekte zumindest offene Fragen bestehen und Entzugsgründe im Sinn von Art. 67 Abs. 1 KEG vorliegen könnten. Ein­zelne Rügen brachten sie bereits in früheren Verfahren vor, andere As­pekte gewannen durch die Ereignisse in Fukushima an Bedeutung und sind neu einzuschätzen. Das Gesuch wurde kurz nach den Ereignissen in Fu­kushima Daiichi eingereicht, und ein erhöhtes Interesse an einer Prüfung der Sicherheit ist nachvollziehbar. Sodann legten sie dar, weshalb sie ein­zelne Rügen erst aufgrund der Gewährung der Akteneinsicht und/oder auf­grund eigener Untersuchungen vorbringen konnten. Sie machen mit ihren Vorbringen glaubhaft, dass die Voraussetzungen für den Ent­zug der Betriebsbewilligung vorliegen könnten und somit ausreichende Gründe vorliegen, um auf die als Dauerverfügung ausgestaltete Betriebs­bewilligung zurückzukommen. Da sich der Streitgegenstand im vorlie­genden Verfahren von jenem im Verfahren über die Befristung der Betriebs­bewilligung (vgl. Sachverhalt Bst. A) unterscheidet, kann den Beschwer­deführenden auch nicht vorgehalten werden, sie hätten bereits eine Rechtsschutzgelegenheit gehabt und würden mit ihrem Gesuch den or­dentlichen Rechtsmittelweg missachten. Das Bundesverwaltungsgericht hat bereits im noch nicht rechtskräftigen Ur­teil über die Befristung der Betriebsbewilligung festgestellt, wichtige Sicher­heitsaspekte seien ungeklärt und ein allfälliges Gesuch um Verlänge­rung der Betriebsbewilligung müsse mit einem Instandhaltungskonzept ein­gereicht werden (vgl. Sachverhalt Bst. A). Auch aus heutiger Sicht ist die Situation nicht grundlegend anders einzuschätzen. Insbesondere auch mit Blick auf das Vorsorgeprinzip und den hohen Stellenwert der Sicher­heit im KEG (vgl. v.a. Art. 4 ff. KEG) ist im Zweifel eine Überprüfung vor­zunehmen. Da vorliegend nicht von der Hand zu weisen ist, dass Grün­de für den Entzug der Betriebsbewilligung vorliegen könnten, hätte die Vorinstanz auf das Gesuch um Entzug der Betriebsbewilligung eintreten und eine materielle Prüfung vornehmen müssen. Soweit sich die mater­ielle Prüfung mit dem Verfahren zur Befristung der Betriebsbewilligung über­schneidet, sind die beiden Verfahren zu koordinieren.</w:t>
      </w:r>
    </w:p>
    <w:p>
      <w:r>
        <w:rPr>
          <w:b/>
        </w:rPr>
        <w:t>E. 3.8</w:t>
      </w:r>
    </w:p>
    <w:p>
      <w:r>
        <w:t>Zusammenfassend kann festgehalten werden, dass die Vorinstanz auf das Gesuch um Entzug der Betriebsbewilligung hätte eintreten müssen und die Beschwerde diesbezüglich gutzuheissen ist. Die Vorinstanz hat eine materielle Prüfung des Gesuchs vorzunehmen. 4. Die Beschwerdeführenden rügen auch die Gebührenauflage im vor­in­stanz­lichen Verfahren. Da ihr Antrag auf Aufhebung des Nichteintretens­ent­scheids und Rückweisung an die Vorinstanz gutgeheissen wird, hat die Vorinstanz die Gebühren für den Aufwand des BFE und die Entscheid­gebühr entsprechend diesem Ausgang des Verfahrens neu zu verle­gen. Hierbei hat sie zu prüfen, ob eine Befreiung von der Entscheidgebühr gemäss Art. 3 Abs. 2 Bst. a der Allgemeinen Gebührenverordnung vom 8. September 2004 (AllgGebV, SR 172.041.1) und von der Gebühr für den Aufwand des BFE gemäss Art. 4 Abs. 2 der Verordnung über Gebüh­ren und Aufsichtsabgaben im Energiebereich vom 22. November 2006 (GebV-En, SR 730.05) in Frage kommt.</w:t>
      </w:r>
    </w:p>
    <w:p>
      <w:r>
        <w:rPr>
          <w:b/>
        </w:rPr>
        <w:t>E. 4</w:t>
      </w:r>
    </w:p>
    <w:p>
      <w:r>
        <w:t>Mit der Rahmenbewilligung wird auch die Bau- und die Betriebsbewilligung entzogen.</w:t>
      </w:r>
    </w:p>
    <w:p>
      <w:r>
        <w:rPr>
          <w:b/>
        </w:rPr>
        <w:t>E. 5</w:t>
      </w:r>
    </w:p>
    <w:p>
      <w:r>
        <w:t>Abschliessend ist über die Verfahrens- und Parteikosten im vorliegenden Ver­fahren zu befinden.</w:t>
      </w:r>
    </w:p>
    <w:p>
      <w:r>
        <w:rPr>
          <w:b/>
        </w:rPr>
        <w:t>E. 5.1</w:t>
      </w:r>
    </w:p>
    <w:p>
      <w:r>
        <w:t>Die Verfahrenskosten sind in der Regel von der unterliegenden Partei zu tragen (Art. 63 Abs. 1 VwVG). Vorliegend obsiegen die Beschwerdefüh­renden. Bei diesem Ausgang des Verfahrens sind der Beschwerdegeg­nerin die auf Fr. 5'000.- festzusetzenden Verfahrenskosten aufzuerlegen (Art. 63 Abs. 4bis VwVG sowie Art. 3 des Reglements vom 21. Feb­ruar 2008 über die Kosten und Entschädigungen vor dem Bundesverwaltungs­gericht [VGKE, SR 173.320.2]). Den Beschwerdeführenden ist der von ihnen geleistete Kostenvorschuss in der Höhe von Fr. 5'000.- nach Ein­tritt der Rechtskraft dieses Urteils zurückzuerstatten.</w:t>
      </w:r>
    </w:p>
    <w:p>
      <w:r>
        <w:rPr>
          <w:b/>
        </w:rPr>
        <w:t>E. 5.2</w:t>
      </w:r>
    </w:p>
    <w:p>
      <w:r>
        <w:t>Gemäss Art. 64 Abs. 1 VwVG kann einer ganz oder teilweise obsiegen­den Partei von Amtes wegen oder auf Begehren für ihr erwachsene not­wendige und verhältnismässig hohe Kosten eine Parteientschädigung zu­gesprochen werden. Die Beschwerdeführenden sind anwaltlich vertreten; eine Kostennote reichten sie nicht ein. Die Parteientschädigung wird so­mit aufgrund der Akten (Art. 14 Abs. 2 des Reglements vom 21. Febru­ar 2008 über die Kosten und Entschädigungen vor dem Bundesverwal­tungs­gericht [VGKE, SR 173.320.2]) auf Fr. 7'000.- (inklusive Auslagen und Mehrwertsteuer) festgesetzt. Die Beschwerdegegnerin hat zwar nicht aus­drücklich eigene Anträge gestellt, hat jedoch materiell Stellung zu Vor­brin­gen der Beschwerdeführenden genommen und dadurch ihr Interesse an einer Abweisung der Beschwerde gezeigt. Die Parteientschädigung ist des­halb von der Beschwerdegegnerin zu leis­ten (Art. 64 Abs. 3 VwVG; vgl. dazu BGE 128 II 90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