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A-6024/2010 vom 22. März 2011</w:t>
      </w:r>
    </w:p>
    <w:p>
      <w:r>
        <w:t>Bundesverwaltungsgericht, 2011-03-22, DE</w:t>
      </w:r>
    </w:p>
    <w:p>
      <w:r>
        <w:rPr>
          <w:b/>
        </w:rPr>
        <w:t xml:space="preserve">Quelle: </w:t>
      </w:r>
      <w:r>
        <w:t>https://mcp.opencaselaw.ch/entscheid/bvger_A-6024_2010</w:t>
      </w:r>
    </w:p>
    <w:p>
      <w:r>
        <w:t>FR: TAF A-6024/2010 du 22 mars 2011</w:t>
      </w:r>
    </w:p>
    <w:p>
      <w:r>
        <w:t>IT: TAF A-6024/2010 del 22 marzo 2011</w:t>
      </w:r>
    </w:p>
    <w:p>
      <w:pPr>
        <w:pStyle w:val="Heading2"/>
      </w:pPr>
      <w:r>
        <w:t>Regeste</w:t>
      </w:r>
    </w:p>
    <w:p>
      <w:r>
        <w:t>Radio- und Fernsehempfangsgebühren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und Art. 34 VGG genannten Behörden. Als Verfügungen gelten nach Art. 5 Abs. 2 VwVG auch Beschwerdeentscheide im Sinne von Art. 61 VwVG.Der Beschwerdeentscheid des BAKOM stellt eine Verfügung im Sinne von Art. 5 VwVG dar und das BAKOM ist nach Art. 33 Bst. d VGG zulässige Vorinstanz des Bundesverwaltungsgerichts. Dieses ist demnach zuständig zur Beurteilung der vorliegenden Beschwerde. 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des angefochtenen Entscheides der Vorinstanz. Sie ist folglich beschwerdelegitimiert. Auf die im Übrigen frist- und formgerecht eingereichte Beschwerde (Art. 50 und Art. 52 VwVG) ist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Wer ein zum Empfang von Radio- und Fernsehprogrammen geeignetes Gerät zum Betrieb bereithält oder betreibt, muss dies der Gebührenerhebungsstelle vorgängig melden und hat eine Empfangsgebühr zu bezahlen (Art. 68 Abs. 1 und Abs. 3 des Bundesgesetzes vom 24. März 2006 über Radio und Fernsehen [RTVG, SR 784.40]). Die Gebührenpflicht beginnt am ersten Tag des Monates der dem Beginn des Bereithaltens oder des Betriebes des Empfangsgerätes folgt (Art. 68 Abs. 4 RTVG) und endet mit Ablauf des Monates, in dem das Bereithalten und der Betrieb aller Empfangsgeräte enden, jedoch nicht vor Ablauf des Monates, in dem dies der Gebührenerhebungsstelle gemeldet worden ist (Art. 68 Abs. 5 RTVG). Änderungen der meldepflichtigen Sachverhalte sind der Gebührenerhebungsstelle schriftlich mitzuteilen (Art. 68 Abs. 3 RTVG i.V.m. Art. 60 Abs. 1 der Radio- und Fernsehverordnung vom 9. März 2007 [RTVV, SR 784.401]; zur relativ strengen Handhabung dieser Mitwirkungs- und Meldepflicht vgl. Urteil des Bundesgerichtes 2A.621/2004 vom 3. November 2004 E. 2.2; Urteil des Bundesverwaltungsgerichts A-6526/2010 vom 8. Februar 2011 E. 4 mit weiteren Hinweisen).</w:t>
      </w:r>
    </w:p>
    <w:p>
      <w:r>
        <w:rPr>
          <w:b/>
        </w:rPr>
        <w:t>E. 4</w:t>
      </w:r>
    </w:p>
    <w:p>
      <w:r>
        <w:t>Die Radio- und Fernsehgesetzgebung sieht sowohl eine Gebührenbefreiung von Gesetzes wegen als auch auf schriftliches Gesuch hin vor. In die Kategorie der von Gesetzes wegen von der Gebührenpflicht (und der Meldepflicht) befreiten Benutzer fallen unter bestimmten Voraussetzungen die Personen mit Wohnsitz im Ausland, die Bewohner von Pflegeheimen, die Bundesbehörden sowie die diplomatischen Vertretungen und deren Personal (Art. 68 Abs. 6 RTVG i.V.m. Art. 63 RTVV), wobei die Befreiungsgründe abschliessend aufgelistet sind (Rolf H. Weber, Rundfunkrecht: Bundesgesetz vom 24. März 2006 über Radio und Fernsehen [RTVG], Handkommentar, Bern 2008, zu Art. 68 Rz. 12). Auf schriftliches Gesuch hin befreit die Gebührenerhebungsstelle AHV- oder IV-Berechtigte von der Gebühren- (nicht aber von der Melde-)pflicht, die (jährliche) Leistungen nach dem Bundesgesetz vom 19. März 1965 (bzw. neu vom 6. Oktober 2006) über Ergänzungsleistungen zur Alters-, Hinterlassenen- und Invalidenversicherung (ELG, SR 831.30) erhalten und einen rechtskräftigen Entscheid über den Anspruch auf Ergänzungsleistung einreichen; wird das Gesuch gutgeheissen, endet die Gebührenpflicht am letzten Tag des Monats, in dem das Gesuch um Gebührenbefreiung eingereicht worden ist (Art. 68 Abs. 6 RTVG i.V.m. Art. 64 Abs. 1 und Abs. 2 RTVV; vgl. auch Urteil des Bundesverwaltungsgerichts A-3292/2010 vom 20. August 2010 E. 6).</w:t>
      </w:r>
    </w:p>
    <w:p>
      <w:r>
        <w:rPr>
          <w:b/>
        </w:rPr>
        <w:t>E. 4.1</w:t>
      </w:r>
    </w:p>
    <w:p>
      <w:r>
        <w:t>Vorliegend fällt die Beschwerdeführerin unter keine der Kategorien von Personen, welche von Gesetzes wegen von der Gebührenpflicht befreit sind. Aber auch gestützt auf Art. 64 RTVV hat sie keinen Anspruch auf Gebührenbefreiung: Denn aus den Akten ergibt sich nicht, dass sie neben ihrer IV-Rente auch Ergänzungsleistungen bezieht (vgl. Art. 64 Abs. 1 RTVV; zur prozessualen Mitwirkungspflicht der Beschwerdeführerin vgl. auch Art. 13 Abs. 1 VwVG).</w:t>
      </w:r>
    </w:p>
    <w:p>
      <w:r>
        <w:rPr>
          <w:b/>
        </w:rPr>
        <w:t>E. 4.2</w:t>
      </w:r>
    </w:p>
    <w:p>
      <w:r>
        <w:t>Der Verordnungsgeber hat AHV- und IV-Berechtigte mit geringem Einkommen von der Gebührenpflicht befreit, weil diese Personen erfahrungsgemäss in ihrer Mobilität und ihren Kommunikationsmöglichkeiten oftmals eingeschränkt und deshalb in besonderem Masse auf Radio und Fernsehen angewiesen sind; den Begriff des geringen Einkommens hat er dabei in Art. 64 Abs. 1 RTVV mit dem Anrecht auf Ergänzungsleistungen gleichgesetzt (vgl. Botschaft vom 18. Dezember 2002 zur Totalrevision des Bundesgesetzes über Radio und Fernsehen [RTVG], BBl 2003 1569 S. 1642). Dieses strenge System führt zwar dazu, dass Personen wie offenbar die Beschwerdeführerin, welche am Existenzminimum leben, aber keine Ergänzungsleistungen beziehen, nicht von der Gebührenpflicht befreit werden. Darin ist jedoch nach konstanter Rechtsprechung kein Verstoss gegen den Grundsatz der Gleichbehandlung gemäss Art. 8 Abs. 1 der Bundesverfassung der Schweizerischen Eidgenossenschaft vom 18. April 1999 (BV, SR 101) zu sehen (Urteile des Bundesgerichts 2A.393/2002 vom 23. Juni 2003 E. 2.5 sowie 2C_359/2009 vom 6. Oktober 2009 E. 3.2; Urteile des Bundesverwaltungsgerichts A-2681/2007 vom 12. Juli 2007 E. 4.2 in fine, A-7004/2008 vom 28. April 2009 E. 4.3 f., A-3292/2010 vom 20. August 2010 E. 6.2, A-4481/2010 vom 8. Dezember 2010 E. 5.3 und 6.2.1 sowie A-6526/2010 vom 8. Februar 2011 E. 5.2).</w:t>
      </w:r>
    </w:p>
    <w:p>
      <w:r>
        <w:rPr>
          <w:b/>
        </w:rPr>
        <w:t>E. 4.3</w:t>
      </w:r>
    </w:p>
    <w:p>
      <w:r>
        <w:t>Gestützt auf vorstehende Erwägungen hat die Vorinstanz zu Recht die Gebührenpflicht der Beschwerdeführerin, die trotz mehrfacher Hinweise und Aufforderungen den Nachweis nicht erbracht hat, Ergänzungsleistungen zu beziehen, bestätigt. Der angefochtene Entscheid erweist sich somit als rechtmässig und die Beschwerde ist als unbegründet abzuweisen.</w:t>
      </w:r>
    </w:p>
    <w:p>
      <w:r>
        <w:rPr>
          <w:b/>
        </w:rPr>
        <w:t>E. 5</w:t>
      </w:r>
    </w:p>
    <w:p>
      <w:r>
        <w:t>Bei diesem Verfahrensausgang gilt die Beschwerdeführerin als unterliegend und ihr sind die auf Fr. 500.- festzusetzenden Verfahrenskosten aufzuerlegen (Art. 63 Abs. 1 VwVG). Dieser Betrag ist mit dem in gleicher Höhe geleisteten Kostenvorschuss zu verrechnen. Eine Parteientschädigung ist nicht auszurichten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