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A-597/2020 vom 23. Februar 2021</w:t>
      </w:r>
    </w:p>
    <w:p>
      <w:r>
        <w:t>Bundesverwaltungsgericht, 2021-02-23, DE</w:t>
      </w:r>
    </w:p>
    <w:p>
      <w:r>
        <w:rPr>
          <w:b/>
        </w:rPr>
        <w:t xml:space="preserve">Quelle: </w:t>
      </w:r>
      <w:r>
        <w:t>https://mcp.opencaselaw.ch/entscheid/bvger_A-597_2020</w:t>
      </w:r>
    </w:p>
    <w:p>
      <w:r>
        <w:t>FR: TAF A-597/2020 du 23 février 2021</w:t>
      </w:r>
    </w:p>
    <w:p>
      <w:r>
        <w:t>IT: TAF A-597/2020 del 23 febbraio 2021</w:t>
      </w:r>
    </w:p>
    <w:p>
      <w:pPr>
        <w:pStyle w:val="Heading2"/>
      </w:pPr>
      <w:r>
        <w:t>Regeste</w:t>
      </w:r>
    </w:p>
    <w:p>
      <w:r>
        <w:t>Luftfahrt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vorliegt. Der angefochtene Entscheid ist eine Verfügung im genannten Sinn und ist von einer zulässigen Vorinstanz gemäss Art. 33 Bst. d VGG erlassen worden. Eine Ausnahme nach Art. 32 VGG liegt nicht vor. Das Bundesverwaltungsgericht ist daher für die Beurteilung der vorliegenden Beschwerde zuständig. Das Verfahren vor dem Bundesverwaltungsgericht richtet sich nach dem VwVG, soweit das VGG nichts anderes bestimmt (Art. 37 VGG).</w:t>
      </w:r>
    </w:p>
    <w:p>
      <w:r>
        <w:rPr>
          <w:b/>
        </w:rPr>
        <w:t>E. 1.2</w:t>
      </w:r>
    </w:p>
    <w:p>
      <w:r>
        <w:t>Auf die im Übrigen frist- und formgerecht eingereichte Beschwerde (Art. 50 und Art. 52 VwVG) ist einzutreten.</w:t>
      </w:r>
    </w:p>
    <w:p>
      <w:r>
        <w:rPr>
          <w:b/>
        </w:rPr>
        <w:t>E. 2</w:t>
      </w:r>
    </w:p>
    <w:p>
      <w:r>
        <w:t>Das Bundesverwaltungsgericht überprüft den angefochtenen Entscheid auf Verletzungen von Bundesrecht - einschliesslich unrichtiger oder unvollständiger Feststellung des rechtserheblichen Sachverhalts und Rechtsfehler bei der Ermessensausübung - sowie auf Angemessenheit hin (vgl. Art. 49 VwVG).</w:t>
      </w:r>
    </w:p>
    <w:p>
      <w:r>
        <w:rPr>
          <w:b/>
        </w:rPr>
        <w:t>E. 3</w:t>
      </w:r>
    </w:p>
    <w:p>
      <w:r>
        <w:t>Luftverkehrsunternehmen müssen alle ihnen zumutbaren Vorkehren treffen, damit sie nur Personen befördern, die über die für die Einreise in den Schengen-Raum oder für die Durchreise durch die internationalen Transitzonen der Flughäfen erforderlichen Reisedokumente, Visa und Aufenthaltstitel verfügen (Art. 92 Abs. 1 AIG). Indirekt sollen damit die Einreise verhindert und durch exterritoriale Kontrollen die Grenzen ins Ausland verschoben werden (Christoph Errass, Carrier Sanctions als Beispiel ausgelagerter und exterritorialer Grenzkontrolle und als Beispiel von Verwaltungssanktionen, in: Breitenmoser/Lagodny/Uebersax [Hrsg.], Schengen und Dublin in der Praxis, 2018, S. 186). Als zumutbare Vorkehren im Sinne von Massnahmen für Luftverkehrsunternehmen nach Art. 92 Abs. 1 AIG gelten die sorgfältige Auswahl, Instruktion und Überwachung des Personals (vgl. Art. 92 Abs. 2 AIG i.V.m. Art. 32 Abs. 1 Bst. a der Verordnung über die Einreise und die Visumerteilung [VEV, SR 142.204]) sowie die zweckmässige Organisation des Check-in und der Einsteigekontrolle und die Bereitstellung der erforderlichen technischen Ausstattung (vgl. Art. 32 Abs. 1 Bst. b VEV). Gemäss Art. 32 Abs. 2 VEV ist mit den Massnahmen nach Art. 32 Abs. 1 VEV sicherzustellen, dass vor der Abreise kontrolliert wird, ob die für die Einreise in den Schengen-Raum oder für den Flughafentransit erforderlichen Reisedokumente, Visa und Aufenthaltstitel gültig und anerkannt sind (Bst. a), Fälschungen oder Verfälschungen von Reisedokumenten, Visa oder Aufenthaltstiteln, die für geschulte Personen mit durchschnittlichem Sehvermögen von blossem Auge erkennbar sind, erkannt werden (Bst. b), erkannt wird, wenn ein Reisedokument, Visum oder Aufenthaltstitel offensichtlich nicht der zu befördernden Person zusteht (Bst. c) und sich die zulässigen Aufenthaltstage oder Einreisen aufgrund der Stempelungen des Reisedokuments ermitteln lassen (Bst. d). Wie sich das Luftverkehrsunternehmen organisiert, damit dieses Ziel eingehalten werden kann, ist aus Sicht des Staates irrelevant. Im vorliegenden Fall hat er allerdings geringfügig in die Organisationsstruktur der Luftverkehrsunternehmen eingegriffen und diese in Art. 32 Abs. 1 VEV implizit verpflichtet, Organisationsvorschriften zu erlassen (zweckmässige Organisation). Diese sollen Abläufe und mögliche Massnahmen standardisieren, damit das gesetzliche Ziel bestmöglich erreicht wird. Für die unmittelbare Umsetzung dieser Organisationsvorschriften ist das Luftverkehrsunternehmen selbstverantwortlich (vgl. Errass, a.a.O., S. 192). In der Praxis sind indes vielfach andere Unternehmen, sog. Ground Handler wie etwa die Swissport, für die "Grenzkontrollen" zuständig (Errass, a.a.O., S. 195; zum Ganzen Urteil BVGer A-597/2019 vom 27. Januar 2020 E. 3.4). Ein Luftverkehrsunternehmen, das seine Sorgfaltspflicht nach Art. 92 Abs. 1 AIG verletzt, wird mit Fr. 4000 pro beförderte Person, die nicht über die erforderlichen Reisedokumente, Visa oder Aufenthaltstitel verfügt, belastet. In schweren Fällen beträgt die Belastung Fr. 16'000 pro Person. In leichten Fällen kann von der Eröffnung eines Verfahrens abgesehen werden (Art. 122a Abs. 1 AIG). Eine Verletzung der Sorgfaltspflicht wird vermutet, wenn das Luftverkehrsunternehmen Personen befördert, die nicht über die für die Einreise in den Schengen-Raum oder für die Durchreise durch die internationalen Transitzonen der Flughäfen erforderlichen Reisedokumente, Visa oder Aufenthaltstitel verfügen und denen die Einreise verweigert wird (Art. 122a Abs. 2 AIG). Keine Verletzung der Sorgfaltspflicht liegt hingegen vor, wenn das Luftverkehrsunternehmen entweder nach Art. 122a Abs. 3 Bst. a AIG beweist, dass die Fälschung oder Verfälschung eines Reisedokuments, Visums oder Aufenthaltstitels nicht offensichtlich erkennbar war (Ziff. 1), nicht offensichtlich erkennbar war, dass ein Reisedokument, Visum oder Aufenthaltstitel nicht der beförderten Person zusteht (Ziff. 2), das Ermitteln der zulässigen Aufenthaltstage oder Einreisen aufgrund der Stempelung des Reisedokuments nicht ohne Weiteres möglich war (Ziff. 3) oder es alle erforderlichen und zumutbaren organisatorischen Vorkehren getroffen hat, um zu verhindern, dass es Personen befördert, die nicht über die für die Einreise in den Schengen-Raum oder für die Durchreise durch die internationalen Transitzonen der Flughäfen erforderlichen Reisedokumente, Visa und Aufenthaltstitel verfügen (Ziff. 4). Zu letzterem gehören die cura in eligendo, instruendo und custodiendo und die Sorgfalt bei der Ausrüstung (technische Infrastruktur beim Check-In und bei der Einstiegskontrolle), was den Massnahmen nach Art. 35 Abs. 1 Bst. a und b VEV entspricht (Errass, a.a.O. S. 205; vgl. ferner zu den drei curae Urteil BVGer A-597/2019 vom 27. Januar 2020 E. 3.4). Wenn das Luftverkehrsunternehmen glaubhaft macht, zur Beförderung einer Person genötigt worden zu sein, liegt ebenfalls keine Verletzung der Sorgfaltspflicht vor (Art. 122a Abs. 3 Bst. b AIG). Gelingt der Beweis des Gegenteils nicht, so trifft die Vermutung zu: Das Luftverkehrsunternehmen hat seine Sorgfaltspflicht verletzt und ist zu sanktionieren (Errass, a.a.O., S. 205; zum Ganzen Urteil BVGer A-597/2019 vom 27. Januar 2020 E. 3.4).</w:t>
      </w:r>
    </w:p>
    <w:p>
      <w:r>
        <w:rPr>
          <w:b/>
        </w:rPr>
        <w:t>E. 4</w:t>
      </w:r>
    </w:p>
    <w:p>
      <w:r>
        <w:t>Die Beschwerdeführerin rügt wie im Verfahren A-597/2019, dass die Anwendung von Art. 122a AIG gegen die in Art. 6 Abs. 2 der Konvention zum Schutze der Menschenrechte und Grundfreiheiten (EMRK, SR 0.101) und Art. 32 Abs. 1 der Bundesverfassung (BV, SR 101) statuierte Unschuldsvermutung verstossen würde. Das Bundesverwaltungsgericht hat sich zu dieser Frage bereits im Urteil vom 27. Januar 2020 eingehend geäussert und die Vereinbarkeit von Art. 122a AIG mit Art. 6 Abs. 2 EMRK und Art. 32 Abs. 1 BV bejaht (vgl. Urteil BVGer A-597/2017 vom 27. Januar 2020 E. 4.4.1 ff.). Der Beschwerdeführerin ist daher mit Verweis auf die dortige Begründung nicht zu folgen.</w:t>
      </w:r>
    </w:p>
    <w:p>
      <w:r>
        <w:rPr>
          <w:b/>
        </w:rPr>
        <w:t>E. 5</w:t>
      </w:r>
    </w:p>
    <w:p>
      <w:r>
        <w:t>Weiter macht die Beschwerdeführerin erneut geltend, dass die Vor-instanz die Untersuchungsmaxime verletzt habe.</w:t>
      </w:r>
    </w:p>
    <w:p>
      <w:r>
        <w:rPr>
          <w:b/>
        </w:rPr>
        <w:t>E. 5.1</w:t>
      </w:r>
    </w:p>
    <w:p>
      <w:r>
        <w:t>Die Beschwerdeführerin führt dazu aus, dass die in Art. 122a AIG vorgesehene Vermutung der Sorgfaltspflichtverletzung die Vorinstanz nicht davon entbinde, eine Untersuchung durchzuführen und im Einzelnen nachzuweisen, dass das Luftverkehrsunternehmen seine Sorgfaltspflicht verletzt habe. Art. 122a AIG könne höchstens die Bedeutung haben, dass die Sorgfaltspflichtverletzung vermutet und das Luftverkehrsunternehmen sanktioniert werden dürfe, wenn es die Mitwirkung an der Aufklärung des Sachverhalts verweigere oder es dem Luftverkehrsunternehmen im Rahmen der vom SEM zu führenden Untersuchung nicht gelinge, die Einhaltung der Sorgfaltspflicht nachzuweisen. Die Vorinstanz müsse sicherstellen, dass der entscheiderhebliche Sachverhalt ermittelt und eine Sanktion nur aufgrund eines vollständig ermittelten Sachverhalts ausgesprochen werde. Nach Erhalt ihrer Stellungnahme sei die Vorinstanz zwar zum Schluss gekommen, dass sie den Nachweis der Einhaltung der Sorgfaltspflicht (noch) nicht erbracht habe. Die Vorinstanz habe ihr dies aber vor der Ausfällung ihres Entscheids nicht mitgeteilt und ihr auch keine Gelegenheit gegeben, ihre Stellungnahme zu ergänzen und weitere Beweismittel einzureichen. Stattdessen habe die Vorinstanz nach Erhalt der Stellungnahme mehrere Monate verstreichen lassen und dann den angefochtenen Entscheid ausgefällt. Dies sei mit dem Untersuchungsgrundsatz unvereinbar. Vielmehr hätte die Vorinstanz ihr mitteilen müssen, welche weiteren Nachweise erforderlich seien, und ihr die Gelegenheit geben müssen, diese Nachweise nachträglich zu erbringen.</w:t>
      </w:r>
    </w:p>
    <w:p>
      <w:r>
        <w:rPr>
          <w:b/>
        </w:rPr>
        <w:t>E. 5.2</w:t>
      </w:r>
    </w:p>
    <w:p>
      <w:r>
        <w:t>Nachdem die Beschwerdeführerin in ihrer Stellungnahme vom 3. September 2019 an die Vorinstanz auf ihre Ausführungen und Unterlagen im Verfahren A-597/2019 verwiesen hatte, verwies die Vorinstanz ihrerseits in der angefochtenen Verfügung auf ihre Ausführungen in der Sanktionsverfügung vom 21. Dezember 2018 und in ihrer Vernehmlassung vom 16. April 2019 im Verfahren A-597/2019. In jenem Verfahren hatte die Vorinstanz das Gelingen des Exkulpationsbeweises des Art. 122a Abs. 3 Bst. a Ziff. 4 AIG verneint, da die Beschwerdeführerin beispielsweise keine Angaben zur Umsetzung der cura in eligendo oder den zur Verfügung gestellten Hilfsmittel gemacht habe (vgl. oben E. D). Zur gerügten Verletzung des Untersuchungsgrundsatzes hatte sie zusammengefasst geltend gemacht, dass es in Bezug auf den Exkulpationsbeweis von Art. 122a Abs. 3 Bst. a Ziff. 4 AIG den Luftverkehrsunternehmen obliege, ihr im Rahmen des rechtlichen Gehörs die notwendigen Informationen zu den getroffenen organisatorischen Vorkehren zur Prüfung zu unterbreiten. Es sei nicht ersichtlich, inwiefern der Beschwerdeführerin nach Gewährung des rechtlichen Gehörs und der bewilligten Fristverlängerung noch weitere Möglichkeiten hätten eingeräumt werden müssen, um zusätzliche Nachweise und Erklärungen einzureichen (vgl. Urteil BVGer A-597/2019 vom 27. Januar 2020 E. 5.2).</w:t>
      </w:r>
    </w:p>
    <w:p>
      <w:r>
        <w:rPr>
          <w:b/>
        </w:rPr>
        <w:t>E. 5.3</w:t>
      </w:r>
    </w:p>
    <w:p>
      <w:r>
        <w:t>Das Bundesverwaltungsgericht hat sich im Urteil A-597/2019 vom 27. Januar 2020 ausführlich mit der Tragweite der Untersuchungsmaxime in Verfahren wie dem vorliegenden auseinandergesetzt und dabei Folgendes festgestellt: In Verfahren betreffend Sorgfaltspflichtverletzungen durch Luftverkehrsunternehmen gemäss Art. 122 AIG gilt die Untersuchungsmaxime nach Art. 12 VwVG. Demzufolge ist die Vorinstanz zur Feststellung der materiellen Wahrheit verpflichtet und hat nicht nur für die Luftverkehrsunternehmen belastende, sondern auch begünstigende Tatsachen zu ermitteln. Sie trifft sowohl für die Vermutungsbasis als auch grundsätzlich für einen von einem Luftverkehrsunternehmen allfällig geltend gemachten Exkulpationstatbestand nach Art. 122a Abs. 3 Bst. a und b AIG die subjektive Beweislast bzw. Beweisführungslast. Dies gilt umso mehr, als dass es sich vorliegend um ein Verwaltungsverfahren mit pönalem Charakter im Sinne von Art. 6 Ziff. 1 EMRK handelt, in welchem die strafprozessualen Verfahrensgarantien und somit besonders die Unschuldsvermutung zu beachten sind. Demgegenüber trifft ein Luftverkehrsunternehmen aufgrund seiner Interessenlage und Sachkenntnisse eine erhöhte Mitwirkungspflicht. Es liegt daher an ihm, einen der Tatbestände in Art. 122 a Abs. 3 Bst. a und b AIG geltend zu machen und die entsprechenden Beweismittel einzureichen, zumal die Vorinstanz zur Ermittlung des Sachverhalts auf die Kooperation der Luftverkehrsunternehmen angewiesen ist. Die Vorinstanz ist jedoch gehalten, mittels geeigneten Instruktionsmassnahmen darauf hinzuwirken, dass ihr ein Luftverkehrsunternehmen jene Unterlagen samt Erläuterungen liefert, welche es ihr beispielsweise im Falle von Art. 122a Abs. 3 Bst. a Ziff. 4 AIG erlauben, die an den einzelnen Flughäfen getroffenen Vorkehren zur Verhinderung der Beförderung von INAD zu beurteilen (vgl. zum Ganzen Urteil BVGer A-597/2019 vom 27. Januar 2020 E. 4.3 m.H.). Die Vorinstanz kann sich nicht damit begnügen, Eingaben summarisch als nicht genügend zu qualifizieren. Gerade wenn das Luftverkehrsunternehmen seine Mitwirkungsbereitschaft signalisiert, indem es gewisse Unterlagen einreicht, hat die Vorinstanz zu erläutern, weshalb sie diese als nicht genügend erachtet und zu präzisieren, welche Ergänzungen oder Erklärungen sie vom Luftverkehrsunternehmen erwartet (vgl. Urteil BVGer A-597/2019 vom 27. Januar 2020 E. 5.3.3 und 5.4.3). Dabei muss die Vorinstanz nicht einzelne spezifische Urkunden benennen. Es genügt, wenn sie das betreffende Luftverkehrsunternehmen auf die Unvollständigkeit der Eingaben aufmerksam macht und gesondert nach Abflugort zur Einreichung sämtlicher sachdienlicher Unterlagen samt Erläuterungen zur Auswahl, Instruktion und Überwachung der Personen bzw. Ground Handler, der Organisation des Check-in und der Einsteigekontrolle sowie zur technischen Ausstattung auffordert. Spricht sie stattdessen direkt die Sanktion aus, verletzt sie ihre Aufklärungspflicht und damit den Untersuchungsgrundsatz (vgl. Urteil BVGer A-597/2019 vom 27. Januar 2020 5.4.3).</w:t>
      </w:r>
    </w:p>
    <w:p>
      <w:r>
        <w:rPr>
          <w:b/>
        </w:rPr>
        <w:t>E. 5.4.1</w:t>
      </w:r>
    </w:p>
    <w:p>
      <w:r>
        <w:t>Das Beweisthema hinsichtlich den zumutbaren organisatorischen Vorkehren ergibt sich aus Art. 32 Abs. 1 Bst. a und b VEV (vgl. oben E. 3). In ihrer Stellungnahme vom 3. September 2019 an die Vorinstanz verwies die Beschwerdeführerin diesbezüglich auf die ihr und dem Bundesverwaltungsgericht im Verfahren A-597/2019 bereits vorgelegten Akten. Diese betrafen wie im vorliegenden Verfahren unter anderem die Abflugsorte BOS, SFO, LAX und MIA.</w:t>
      </w:r>
    </w:p>
    <w:p>
      <w:r>
        <w:rPr>
          <w:b/>
        </w:rPr>
        <w:t>E. 5.4.2</w:t>
      </w:r>
    </w:p>
    <w:p>
      <w:r>
        <w:t>Im Vorverfahren des Verfahrens A-597/2019 hatte die Beschwerdeführerin folgende Urkunden zu den Akten gegeben: «Instruktion der Handling Agenten in der Standardklausel gemäss Standard Ground Handling Agreement (SGHA), Mainagreement Annex A, Ziffer 2.2.3», «Instruktion gemäss Group Passenger Manual (GPM) 3.5.2 Checking Travel Documents (Auszug aus dem LH Group Passenger and Baggage Manual)», «Überwachung mittels täglicher Briefings oder Check-In-Agenten», «Stationsleiter Manual über die Rolle und Verantwortlichkeit», «Informationen an die Stationsleiter bezüglich INAD Vorfälle», «Monatliche Qualitätsreports über die Fälle von Offloads oder INADS» sowie «Übersicht transportierter Fluggäste vs. INAD Fälle». Zudem wies sie die Vorinstanz darauf hin, dass die in den USA stationierte deutsche ALO die Stationen schulen würden (vgl. Urteil BVGer A-597/2019 vom 27. Januar 2020 E. 5.4.1). Die Unterlagen geben Auskunft über das von den Ground Handler einzuhaltende Prozedere bezüglich der Kontrolle der Reisepapiere, die überwachende Rolle des Station Managers sowie das Reporting festgestellter INAD an die Station Managers. Soweit ersichtlich machte die Beschwerdeführerin damit rudimentäre Angaben zur Instruktion und Überwachung der Ground Handler (cura in instruendo und custodiendo) sowie zur Organisation des Check-in und der Einsteigekontrolle. Sie wurden jedoch nur in allgemeiner Form und nicht gesondert nach Abflugort gemacht (vgl. BVGer A-597/2019 vom 27. Januar 2020 E. 5.4.2). Im Beschwerdeverfahren A-597/2019 reichte die Beschwerdeführerin mit Beschwerde vom 1. Februar 2019 weitere Unterlagen samt Erläuterungen zu den drei curae, den technischen Vorkehren sowie zum Prozedere des Check-In ein (Urteil BVGer A-597/2019 vom 27. Januar 2020 E. 5.5).</w:t>
      </w:r>
    </w:p>
    <w:p>
      <w:r>
        <w:rPr>
          <w:b/>
        </w:rPr>
        <w:t>E. 5.4.3</w:t>
      </w:r>
    </w:p>
    <w:p>
      <w:r>
        <w:t>Wie im Verfahren A-597/2019 zeigte die Beschwerdeführerin mit dem Verweis auf die bereits offengelegten Unterlagen ihre Mitwirkungsbereitschaft bzw. den Willen, den Beweis des Gegenteils anzutreten. Im Unterschied zum Verfahren A-597/2019 lagen der Vorinstanz aufgrund der Eingaben in jenem Beschwerdeverfahren sogar noch zusätzliche Unterlagen vor. Die Vorinstanz wäre aus diesem Grund verpflichtet gewesen, der Beschwerdeführerin mitzuteilen, weshalb sie die vorliegenden Unterlagen (immer) noch als nicht genügend erachte und zu präzisieren, welche Ergänzungen oder Erklärungen sie von ihr noch erwarte (vgl. oben E. 5.3). Mithin wäre es der Vorinstanz auch im vorliegenden Verfahren zuzumuten gewesen, die Beschwerdeführerin auf die fehlenden Angaben hinzuweisen. Ein solcher Hinweis wäre prozessökonomisch unbedenklich, verhältnismässig sowie angesichts der Höhe der drohenden Sanktion und der verwaltungssanktionsrechtlichen Natur des Verfahrens angezeigt gewesen (so bereits Urteil BVGer A-597/2019 vom 27. Januar 2020 E. 5.4.3). Die Vorinstanz scheint dies auch anzuerkennen, nachdem sie mit Verweis auf das rechtskräftige Urteil A-597/2019 vom 27. Januar 2020 des Bundesverwaltungsgerichts auf eine Vernehmlassung verzichtete.</w:t>
      </w:r>
    </w:p>
    <w:p>
      <w:r>
        <w:rPr>
          <w:b/>
        </w:rPr>
        <w:t>E. 5.5</w:t>
      </w:r>
    </w:p>
    <w:p>
      <w:r>
        <w:t>Die Beschwerdeinstanz entscheidet in der Sache selbst oder weist diese ausnahmsweise mit verbindlichen Weisungen an die Vorinstanz zurück (Art. 61 Abs. 1 VwVG). Dies ist vor allem dann angezeigt, wenn in Verletzung des Untersuchungsgrundsatzes Abklärungen und Wertungen unterblieben sind, die für einen Entscheid in der Sache unabdingbar sind. Gerade wenn es sich um technische Fragen handelt, die besondere Sachkenntnis bedingen, ist es nicht Sache des Bundesverwaltungsgerichts, als erste Instanz in einem Fachbereich zu entscheiden, in dem ein gewisser Beurteilungsspielraum der fachkundigeren Vorinstanz besteht (BVGE 2012/21 E. 5.1; Urteile BVGer A-597/2019 vom 27. Januar 2020 E. 5.5 und B-798/2012 vom 27. November 2013 E. 10). Die Beschwerdeführerin versucht in ihrer Beschwerde die Einhaltung ihrer Sorgfaltspflicht zu beweisen. Die Vorinstanz äussert sich in ihrer Vernehmlassung nicht dazu. Auch im Rahmen der Sanktionsverfügung hatte sie nicht dargelegt, inwiefern die Beschwerdeführerin in Bezug auf die im vorliegenden Verfahren relevanten INAD ihre Sorgfaltspflichten nicht genügend wahrgenommen haben soll, was insofern eine Verletzung ihrer Begründungspflicht darstellt (vgl. dazu statt vieler Urteil BVGer A-2566/2019 vom 19. Mai 2020 E. 6.3 m.w.H). Mangels fachkundiger Erstbeurteilung durch die Vorinstanz ist es dem Bundesverwaltungsgericht daher nicht möglich, sich materiell fundiert mit der Frage, ob die Beschwerdeführerin an den einzelnen Abflugsorten zumutbare Vorkehren zur Verhinderung von INAD getroffen hat, auseinanderzusetzen. Die vorinstanzliche Verfügung ist deshalb aufzuheben und zur Durchführung eines gründlichen Beweisverfahrens an die Vorinstanz zurückzuweisen. Sie hat die Beschwerdeführerin aufzufordern, ihr die aus ihrer Sicht noch fehlenden Unterlagen samt allfälligen Erläuterungen nachzureichen. Falls der Beweis des Gegenteils der Beschwerdeführerin nicht gelingen sollte, hätte die Vorinstanz dies gesondert nach Abflugort eingehend zu begründen. Nur so würde das Bundesverwaltungsgericht im Falle einer erneuten Beschwerde in die Lage versetzt, den vorinstanzlichen Entscheid auf seine Rechtmässigkeit hin zu überprüfen (so auch Urteil BVGer A-597/2019 vom 27. Januar 2020 E. 5.5).</w:t>
      </w:r>
    </w:p>
    <w:p>
      <w:r>
        <w:rPr>
          <w:b/>
        </w:rPr>
        <w:t>E. 6</w:t>
      </w:r>
    </w:p>
    <w:p>
      <w:r>
        <w:t>Im Ergebnis ist die Beschwerde gutzuheissen. Die Verfügung der Vorinstanz vom 17. Dezember 2019 ist aufzuheben und die Sache zwecks weiterer Abklärungen im Sinne der Erwägungen an die Vorinstanz zurückzuweisen. Bei diesem Ausgang braucht auf die weiteren Rügen der Beschwerdeführerin nicht eingegangen zu werden.</w:t>
      </w:r>
    </w:p>
    <w:p>
      <w:r>
        <w:rPr>
          <w:b/>
        </w:rPr>
        <w:t>E. 7</w:t>
      </w:r>
    </w:p>
    <w:p>
      <w:r>
        <w:t>Es bleibt über die Kosten und Entschädigungen des Beschwerdeverfahrens zu befinden.</w:t>
      </w:r>
    </w:p>
    <w:p>
      <w:r>
        <w:rPr>
          <w:b/>
        </w:rPr>
        <w:t>E. 7.1</w:t>
      </w:r>
    </w:p>
    <w:p>
      <w:r>
        <w:t>Das Bundesverwaltungsgericht auferlegt die Verfahrenskosten in der Regel der unterliegenden Partei (Art. 63 Abs. 1 VwVG). Die Beschwerdeführerin obsiegt vollumfänglich, weshalb ihr der geleistete Kostenvorschuss von Fr. 8'500.-- nach Eintritt der Rechtskraft des vorliegenden Urteils zurückzuerstatten ist. Die unterliegende Vorinstanz trägt keine Verfahrenskosten (Art. 63 Abs. 2 VwVG).</w:t>
      </w:r>
    </w:p>
    <w:p>
      <w:r>
        <w:rPr>
          <w:b/>
        </w:rPr>
        <w:t>E. 7.2</w:t>
      </w:r>
    </w:p>
    <w:p>
      <w:r>
        <w:t>Obsiegt eine Partei, so hat sie Anspruch auf eine Parteientschädigung für die ihr erwachsenen notwendigen und verhältnismässig hohen Kosten (Art. 64 Abs. 1 VwVG i.V.m. Art. 7 Abs. 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unter Berücksichtigung der bereits im Verfahren A-597/2019 gemachten Aufwendungen, auf welche die Beschwerdeführerin zurückgreifen konnte, auf Fr. 4'000.-- festgesetzt und der Vorinstanz auferlegt.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