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A-5974/2010 vom 14. Februar 2011</w:t>
      </w:r>
    </w:p>
    <w:p>
      <w:r>
        <w:t>Bundesverwaltungsgericht, 2011-02-14, DE</w:t>
      </w:r>
    </w:p>
    <w:p>
      <w:r>
        <w:rPr>
          <w:b/>
        </w:rPr>
        <w:t xml:space="preserve">Quelle: </w:t>
      </w:r>
      <w:r>
        <w:t>https://mcp.opencaselaw.ch/entscheid/bvger_A-5974_2010</w:t>
      </w:r>
    </w:p>
    <w:p>
      <w:r>
        <w:t>FR: TAF A-5974/2010 du 14 février 2011</w:t>
      </w:r>
    </w:p>
    <w:p>
      <w:r>
        <w:t>IT: TAF A-5974/2010 del 14 febbraio 2011</w:t>
      </w:r>
    </w:p>
    <w:p>
      <w:pPr>
        <w:pStyle w:val="Heading2"/>
      </w:pPr>
      <w:r>
        <w:t>Regeste</w:t>
      </w:r>
    </w:p>
    <w:p>
      <w:r>
        <w:t>Amts- und Rechtshilfe</w:t>
      </w:r>
    </w:p>
    <w:p>
      <w:pPr>
        <w:pStyle w:val="Heading2"/>
      </w:pPr>
      <w:r>
        <w:t>Erwägungen</w:t>
      </w:r>
    </w:p>
    <w:p>
      <w:r>
        <w:rPr>
          <w:b/>
        </w:rPr>
        <w:t>E. 1.1.1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1.1.2</w:t>
      </w:r>
    </w:p>
    <w:p>
      <w:r>
        <w:t>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Im vorliegenden Fall sind sowohl die Beschwerdeführerin 1 als auch der Beschwerdeführer 2 im Rubrum der Schlussverfügung genannt. Sie sind besonders von ihr betroffen, die erste als Halterin des in der Schlussverfügung der Vorinstanz vom 23. August 2010 genannten Kontos und Vertragspartnerin der UBS AG, der zweite als angeblich wirtschaftlich Berechtigter am betroffenen Bankkonto. Beide Beschwerdeführenden finden sich damit in einer besonderen Beziehung zur angefochtenen Verfügung. Sie haben im Übrigen ein Interesse an der Aufhebung oder Änderung der angefochtenen Verfügung und nahmen am Verfahren vor der Vorinstanz teil. Demzufolge sind sie zur Beschwerde legitimiert (vgl. Urteile des Bundesverwaltungsgerichts A 7710/2010 vom 11. Februar 2010 E. 1.3, A 6556/2010 vom 7. Januar 2011 E. 1.3.1). Demnach ist auf die form- und fristgerecht eingereichte Beschwerde einzutreten.</w:t>
      </w:r>
    </w:p>
    <w:p>
      <w:r>
        <w:rPr>
          <w:b/>
        </w:rPr>
        <w:t>E. 1.2</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1.3</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6053/2010 vom 10. Januar 2010 E. 1.5, A 4911/2010 vom 30. November 2010 E. 1.4.2, A 4013/2010 vom 15. Juli 2010 E. 2.1 und E. 6.2.2). Das Verfahren in Bezug auf den Informationsaustausch mit den USA wird abgeschlossen mit dem Erlass einer begründeten Schlussverfügung der ESTV im Sinne von Art. 20j Abs. 1 Vo DBA-USA. Darin hat die ESTV darüber zu befinden, ob ein begründeter Tatverdacht auf ein Betrugsdelikt und dergleichen im Sinne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 4911/2010 vom 30. November 2010 E. 1.4.2).</w:t>
      </w:r>
    </w:p>
    <w:p>
      <w:r>
        <w:rPr>
          <w:b/>
        </w:rPr>
        <w:t>E. 2.2</w:t>
      </w:r>
    </w:p>
    <w:p>
      <w:r>
        <w:t>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 4911/2010 vom 30. November 2010 E. 1.4.2).</w:t>
      </w:r>
    </w:p>
    <w:p>
      <w:r>
        <w:rPr>
          <w:b/>
        </w:rPr>
        <w:t>E. 3</w:t>
      </w:r>
    </w:p>
    <w:p>
      <w:r>
        <w:t>Umstritten ist vorliegend einzig die Frage, ob der Beschwerdeführer 2 als am Konto der Beschwerdeführerin 1 wirtschaftlich berechtigt («beneficially owned») im Sinne des Staatsvertrags zu gelten hat. Das Vorliegen der übrigen Voraussetzungen (insbesondere, dass der Beschwerdeführer 2 eine «US Person» sei, dass es sich beim von der Beschwerdeführerin 1 gehaltenen Konto aus Sicht der USA um einen «off­shore company account» handle, sowie dass die im Staatsvertrag 10 genannten Einkommens- und Vermögensgrenzen im fraglichen Zeitraum überschritten wurden) wird nicht bestritten und es ergeben sich aus den Akten auch keine Hinweise auf ein Fehlen dieser Voraussetzungen.</w:t>
      </w:r>
    </w:p>
    <w:p>
      <w:r>
        <w:rPr>
          <w:b/>
        </w:rPr>
        <w:t>E. 3.1</w:t>
      </w:r>
    </w:p>
    <w:p>
      <w:r>
        <w:t>Das Bundesverwaltungsgericht fällte am 10. Januar 2011 ein weiteres Piloturteil (A 6053/2010), in welchem es sich unter anderem zum Begriff des wirtschaftlich Berechtigten («beneficially owned») äusserte (insb. E. 7.3). Es lehnte sich an das massgebliche Kriterium «Entscheidungsbefugnisse» beim Konzept des «beneficial owner» des DBA-USA 96 bzw. des Musterabkommens der Organisation für wirtschaftliche Zusammenarbeit und Entwicklung an. Demgemäss sei für eine mögliche wirtschaftliche Berechtigung («beneficially owned») an einem «off­shore company account» im Sinne des Staatsvertrags 10 entscheidend, inwiefern die «US Person» durch den formellen Rahmen hindurch weiterhin die sich auf dem UBS Konto der «off­shore company» befindlichen Vermögenswerte und die daraus erzielten Einkünfte wirtschaftlich kontrollieren und darüber verfügen könne (Urteil des Bundesverwaltungsgerichts A 6053/2010 vom 10. Januar 2011 E. 7.3.2 auch zum Folgenden). Demgemäss sei dann von einer wirtschaftlichen Berechtigung auszugehen, wenn die fragliche «US Person» die Entscheidungsbefugnis darüber habe, wie das Vermögen auf dem UBS Konto verwaltet werde und/oder, ob und bejahendenfalls wie diese oder die daraus erzielten Einkünfte verwendet worden seien. Ob und gegebenenfalls in welchem Umfang die wirtschaftliche Verfügungsmacht und Kontrolle über das sich auf dem UBS Konto befindliche Vermögen und die daraus erzielten Einkünfte tatsächlich in der relevanten Zeitperiode von 2001 bis 2008 vorgelegen hätten, sei im Einzelfall anhand des rein Faktischen zu beurteilen. Insbesondere seien die heranzuziehenden Kriterien bzw. Indizien auch davon abhängig, welche (Rechts )form für die «off­shore company» gewählt worden sei.</w:t>
      </w:r>
    </w:p>
    <w:p>
      <w:r>
        <w:rPr>
          <w:b/>
        </w:rPr>
        <w:t>E. 3.2</w:t>
      </w:r>
    </w:p>
    <w:p>
      <w:r>
        <w:t>Im Fall einer (liechtensteinischen) Stiftung können nachfolgende Indizien/Kriterien auf die wirtschaftliche Verfügungsmacht und Kontrolle bzw. die wirtschaftliche Berechtigung der «US Person» hinweisen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 Konto angesehen werden, wenn die «US Person» auf Zeitpunkt und Umfang von Zuwendungen an sie selbst im massgeblichen Sinn Einfluss nehmen konnte. Auch in diesem Fall ist unter Beurteilung des rein Faktischen festzustellen, ob die wirtschaftliche Kontrolle und Verfügungsmacht über das sich auf dem «off­shore company account» befindliche Vermögen und den daraus erzielten Einkünften vorgelegen haben (Urteil des Bundesverwaltungsgerichts A 6053/2010 vom 10. Januar 2011 E. 7.3.3).</w:t>
      </w:r>
    </w:p>
    <w:p>
      <w:r>
        <w:rPr>
          <w:b/>
        </w:rPr>
        <w:t>E. 4.1.1</w:t>
      </w:r>
    </w:p>
    <w:p>
      <w:r>
        <w:t>In ihrer Schlussverfügung vom 23. August 2010 begründet die ESTV die Annahme, der Beschwerdeführer 2 sei am UBS Konto der Beschwerdeführerin 1 wirtschaftlich berechtigt damit, Ersterer werde in den Bankunterlagen durchgehend als wirtschaftlich Berechtigter an Letzterer genannt. Die ESTV bezieht sich auf die Belegstellen [...]. Mit Bezug auf die Belegstelle [...] erklärt die ESTV, der Beschwerdeführer 2 habe vom Stiftungsrat der Beschwerdeführerin 1 (nachfolgend: Stiftungsrat) genehmigte Bezüge tätigen dürfen und somit faktisch über die Vermögenswerte bestimmen können. Folglich sei davon auszugehen, dass der Beschwerdeführer 2 an der Beschwerdeführerin 1 und damit auch an deren Bankkonto mit der Stammnummer [...] wirtschaftlich berechtigt gewesen sei.</w:t>
      </w:r>
    </w:p>
    <w:p>
      <w:r>
        <w:rPr>
          <w:b/>
        </w:rPr>
        <w:t>E. 4.1.2</w:t>
      </w:r>
    </w:p>
    <w:p>
      <w:r>
        <w:t>Dagegen bringen die Beschwerdeführenden in ihrer Beschwerdeschrift vom 22. September 2010 insbesondere vor, der Hauptzweck der Beschwerdeführerin 1 sei die Unterstützung einer wohltätigen Organisation, nämlich der Z._______. Die Beschwerdeführerin 1 unterstehe Art. 552 § 52 des liechtensteinischen Personen- und Gesellschaftsrechts vom 20. Januar 1926 (PGR, LR-Nr. 216.0), wobei eine solche Aufsicht nur bei Stiftungen mit gemeinnützigem Charakter bestehe. Gemäss den Statuten der Beschwerdeführerin 1 (nachfolgend: Statuten) werde der Stiftungsgenuss durch den Stiftungsrat nach freiem Ermessen an die im Beistatut der Beschwerdeführerin 1 (nachfolgend: Beistatut) bezeichneten Begünstigen zugewendet. Die inzwischen verstorbene Stifterin sowie der Beschwerdeführer 2 hätten weder als Stiftungsräte fungiert noch Einfluss auf die Führung und Vertretung der Beschwerdeführerin 1 im Innen- oder Aussenverhältnis gehabt. Es habe keine Interventionsrechte der inzwischen verstorbenen Stifterin gegeben und schon gar nicht eine solche des Beschwerdeführers 2. Dieser sei als Ermessensbegünstigter (Begünstigter ohne Rechtsanspruch) zu sehen. Der Beschwerdeführer 2 sei zu 5 % pro Jahr Begünstigter am Stiftungsvermögen. Nach seinem Tod gehe das Stiftungsvermögen an die als Drittbegünstigte eingesetzte Z._______. Der Beschwerdeführer 2 habe mit der Errichtung der Beschwerdeführerin 1 nichts zu tun gehabt und bis kurz vor dem Tod der Stifterin nicht von der Existenz der Beschwerdeführerin 1 gewusst. Der Beschwerdeführer 2 erscheine nur deshalb auf dem sogenannten Formular A als wirtschaftlich Berechtigter, weil man nach dem Tod der erstbegünstigten Stifterin die Beschwerdeführerin 1 selbst nicht als wirtschaftlich Berechtigte habe angeben können oder wollen. Damit werde er aber nicht zum wirtschaftlich Berechtigten im Sinne des Staatsvertrags 10. Um gegenüber der UBS AG keine Zweifel an der fehlenden Berechtigung des Beschwerdeführers 2 am Stiftungskonto zu lassen, habe der Stiftungsrat in einem Begleitschreiben zum neuen Formular ausdrücklich erklärt, dass dem Beschwerdeführer 2 keine Auskünfte über die Höhe der Vermögenswerte gegeben werden dürften, er keine Anlageinstruktionen und dergleichen erteilen und keine Bezüge tätigen dürfe, ohne dass der Stiftungsrat vorher über die Höhe des beabsichtigten Bezuges informiert worden sei und den Bezug auch ausdrücklich genehmigt habe. Die Beschwerdeführenden verweisen hier auf die Belegstelle [...]. In diesem Schreiben stehe genau das Gegenteil von dem, was die Vorinstanz behaupte (vgl. E. 4.1.1 zuvor). Der Stiftungsrat habe darin der UBS AG verboten, dem Beschwerdeführer 2 Auskunft zum Stiftungskonto zu erteilen oder Instruktionen des Beschwerdeführers 2 Folge zu leisten. Aus dem Schreiben abzuleiten, der Beschwerdeführer 2 dürfe vom Stiftungsrat genehmigte Bezüge tätigen, womit dieser faktisch über das Konto verfügen könne, sei abwegig und verdrehe den Sinn dieser Aussage ins Gegenteil. Der Beschwerdeführer 2 habe auch nie versucht, über das Konto zu verfügen. Seit dem Jahr 2005 erhalte der Beschwerdeführer in Übereinstimmung mit den Statuten und dem Beistatut und auf der Grundlage entsprechender Stiftungsratsbeschlüsse jährlich 5 % des Stiftungsvermögens ausgeschüttet. Die Beschwerdeführenden machen geltend, dass das Stiftungsvermögen weder wirtschaftlich noch steuerlich dem Beschwerdeführer 2 zugerechnet werden könne, da er weder Eigentum am Stiftungsvermögen noch Zugriff auf dieses habe. Er habe die Beschwerdeführerin 1 weder beherrscht noch habe er sie dazwischen geschaltet oder indirekt deren Konto bei der UBS AG gehalten.</w:t>
      </w:r>
    </w:p>
    <w:p>
      <w:r>
        <w:rPr>
          <w:b/>
        </w:rPr>
        <w:t>E. 4.1.3</w:t>
      </w:r>
    </w:p>
    <w:p>
      <w:r>
        <w:t>In ihrer Vernehmlassung vom 17. November 2010 hält die ESTV an ihrer Interpretation des Schreibens des Stiftungsrates (Belegstelle [...]) fest. Des Weiteren bringt sie vor, gemäss Art. 2 des Beistatuts werde der Beschwerdeführer 2 nach dem Tod der erstbegünstigten Person zum einzigen Begünstigten der Beschwerdeführerin 1, wobei er während seines ganzen Lebens pro Jahr eine Vergütung von 5 % des Kapitals und des Einkommens der Beschwerdeführerin 1 erhalte. Erst danach werde die Z._______ als Drittbegünstigte genannt. Bis dahin könne und dürfe der Beschwerdeführer 2 über die Vermögenswerte und Einkünfte der Beschwerdeführerin 1 tatsächlich verfügen. Vor seinem Ableben sei die Beschwerdeführerin 1 nicht gemeinnützig. Es liege in keiner Weise im Ermessen des Stiftungsrates, dem Beschwerdeführer 2 Leistungen auszurichten oder nicht. Art. 3 der Statuten verweise bezüglich der Begünstigtenordnung ausdrücklich auf das Beistatut, wobei der Zweckartikel gemäss Art. 10 Abs. 1 der Statuten nicht geändert werden dürfe.</w:t>
      </w:r>
    </w:p>
    <w:p>
      <w:r>
        <w:rPr>
          <w:b/>
        </w:rPr>
        <w:t>E. 4.1.4</w:t>
      </w:r>
    </w:p>
    <w:p>
      <w:r>
        <w:t>In ihrer Replik vom 2. Dezember 2010 hielten die Beschwerdeführenden im Wesentlichen an ihren Argumenten fest und bekräftigten diese. Bezüglich der Wohltätigkeit der Beschwerdeführerin 1 zu Lebzeiten des Beschwerdeführers 2 weisen sie auf Art. 3 Abs. 3 der Statuten hin, welche Zuwendungen für wohltätige Zwecke vorsehe.</w:t>
      </w:r>
    </w:p>
    <w:p>
      <w:r>
        <w:rPr>
          <w:b/>
        </w:rPr>
        <w:t>E. 4.2.1</w:t>
      </w:r>
    </w:p>
    <w:p>
      <w:r>
        <w:t>Die ESTV stützt ihre Annahme, der Beschwerdeführer 2 sei am Konto der Beschwerdeführerin 1 wirtschaftlich berechtigt, zunächst auf das Formular A ([Belegstelle]) - auf welchem die Banken unter gewissen Voraussetzungen den an einem bestimmten Konto wirtschaftlich Berechtigten festzuhalten haben, wobei das Formular nicht steuerlichen Zwecken dient (vgl. Urteil des Bundesverwaltungsgerichts A 7342/2008 und A 7426/2008 vom 5. März 2009 E. 5.5.2.4) - sowie verschiedene (zwei konkret genannte: [Belegstellen]) Belege in den Akten, in denen die UBS AG den Beschwerdeführer 2 als am fraglichen Konto wirtschaftlich Berechtigten nennt. Dies wird von den Beschwerdeführenden auch nicht bestritten. Insbesondere aufgrund der beiden erstgenannten Belege, durfte die ESTV von der wirtschaftlichen Berechtigung des Beschwerdeführers 2 ausgehen. Ihr stand mit dem Formular A ein starkes Indiz für die wirtschaftliche Berechtigung des Beschwerdeführers 2 am von der Beschwerdeführerin 1 gehaltenen Konto zur Verfügung. Überdies wird der Beschwerdeführer 2 in der Belegstelle [...] als wirtschaftlich Berechtigter genannt. Aufgrund dieser Belege durfte die ESTV davon ausgehen, dass der Beschwerdeführer 2 tatsächlich der wirtschaftlich Berechtigte am von der Beschwerdeführerin 1 gehaltenen Konto war.</w:t>
      </w:r>
    </w:p>
    <w:p>
      <w:r>
        <w:rPr>
          <w:b/>
        </w:rPr>
        <w:t>E. 4.2.2</w:t>
      </w:r>
    </w:p>
    <w:p>
      <w:r>
        <w:t>Wie unter E. 2.1 festgehalten, sieht sich das Bundesverwaltungsgericht veranlasst, an den Sachverhaltsannahmen zu den persönlichen Identifikationsmerkmalen in der angefochtenen Schlussverfügung der Vorinstanz festzuhalten und diese nur zu korrigieren, wenn darin offensichtlich Fehler, Lücken oder Widersprüche auftreten oder wenn die Beschwerdeführenden die Sachverhaltsannahmen der Vorinstanz mittels Urkunden klarerweise und entscheidend entkräften. Dementsprechend ist für die vorliegende Entscheidfindung nicht von Bedeutung, aus welchen Gründen der Beschwerdeführer 2 von der UBS AG als wirtschaftlich Berechtigter am Konto der Beschwerdeführerin 1 genannt wird. Vielmehr handelt es sich dabei um eine Sachverhaltsannahme, welche von den Beschwerdeführenden klarerweise und entscheidend zu entkräften ist. Gelingt es ihnen nicht, dem Bundesverwaltungsgericht im erwähnten Sinn aufzuzeigen, dass der Beschwerdeführer 2 zu Unrecht von der UBS AG auf den entsprechenden Formularen als wirtschaftlich Berechtigter am Konto der Beschwerdeführerin 1 genannt wird bzw. er in den Jahren 2001 bis 2008 zu keinem Zeitpunkt die wirtschaftliche Verfügungsmacht und Kontrolle über das sich auf dem UBS Konto der Beschwerdeführerin 1 befindliche Vermögen und die daraus erzielten Einkünfte hatte, ist an der diesbezüglichen Annahme der Vorinstanz festzuhalten.</w:t>
      </w:r>
    </w:p>
    <w:p>
      <w:r>
        <w:rPr>
          <w:b/>
        </w:rPr>
        <w:t>E. 4.3.1</w:t>
      </w:r>
    </w:p>
    <w:p>
      <w:r>
        <w:t>Vorab ist auf die unterschiedliche Interpretation der Verfahrensbeteiligten bezüglich der Belegstelle [...] (Schreiben des Stiftungsrats an die UBS AG vom [Datum] 2004) einzugehen. An der fraglichen Belegstelle macht der Stiftungsrat das Formular A betreffend folgende Aussage: «* Dem wirtschaftlich Berechtigten dürfen keine Auskünfte über die Höhe der Vermögenswerte der Stiftung gegeben werden; · Der wirtschaftlich Berechtigte darf keine Anlageinstruktionen und dergleichen erteilen; · Der wirtschaftlich Berechtigte darf keine Bezüge tätigen, ohne dass der Stiftungsrat vorher über die Höhe des beabsichtigten Bezuges informiert wurde und den Bezug auch ausdrücklich genehmigt hat.» Die ESTV liest aus dem dritten Absatz des besagten Schreibens, dass der Beschwerdeführer 2 vom Stiftungsrat genehmigte Bezüge tätigen durfte, womit er faktisch über die Vermögenswerte bestimmen konnte (vgl. E. 4.1.1 und 4.1.3). Mit Bezug auf den gesamten Inhalt des Schreibens führen die Beschwerdeführenden dagegen aus, der Stiftungsrat habe der UBS AG verboten, dem Beschwerdeführer 2 Auskunft zum Stiftungskonto zu erteilen oder Instruktionen des Beschwerdeführers 2 Folge zu leisten. Aus dem letzten Abschnitt abzuleiten, der Beschwerdeführer 2 dürfe vom Stiftungsrat genehmigte Bezüge tätigen und damit faktisch über das Konto verfügen, sei abwegig und verdrehe den Sinn dieser Aussage ins Gegenteil. Der Stiftungsrat habe gerade verhindern wollen, dass der Beschwerdeführer 2 über das Konto verfügen könne (vgl. E. 4.1.2 und 4.1.4). Tatsächlich bezeichnet der Stiftungsrat in diesem Schreiben den Beschwerdeführer 2 als «wirtschaftlich Berechtigten». Diese Bezeichnung ist aber nicht Selbstzweck, sondern ihr liegt die entsprechende Bezeichnung im Formular A, auf welches sich die Ausführungen des Stiftungsrats beziehen, zugrunde. Mit anderen Worten wählt der Stiftungsrat den Be­griff «wirtschaftlich Berechtigter» nicht, weil er die wirtschaftliche Berechtigung bestätigen möchte, sondern weil er klar stellen möchte, dass er von der im Formular A als wirtschaftlich berechtigt bezeichneten Person spricht. Überhaupt ist bei Betrachtung des gesamten Schreibens des Stiftungsrats tatsächlich fraglich, ob der Beschwerdeführer 2 nach dem darin Ausgeführten noch als wirtschaftlich Berechtigter im Sinne des Staatsvertrags 10 gelten kann, erhält er doch keine Auskünfte über die Höhe der Vermögenswerte der Beschwerdeführerin 1 und darf er der Bank keine Anlageinstruktionen erteilen. Angemerkt sei, dass im Beleg [...], welcher von der ESTV ebenfalls genannt wird, nur der Inhalt des soeben genannten Schreibens wiederholt wird.</w:t>
      </w:r>
    </w:p>
    <w:p>
      <w:r>
        <w:rPr>
          <w:b/>
        </w:rPr>
        <w:t>E. 4.3.2</w:t>
      </w:r>
    </w:p>
    <w:p>
      <w:r>
        <w:t>Die Beschwerdeführenden weisen darauf hin, die Beschwerdeführerin 1 unterstehe Art. 552 § 29 des liechtensteinischen Personen- und Gesellschaftsrechts (PGR, vgl. E. 4.1.2). Die Stiftungsaufsicht wacht demgemäss darüber, dass das Stiftungsvermögen seinen Zwecken gemäss verwaltet und verwendet wird (Art. 552 § 29 Abs. 3 PGR). Damit ist aber noch nicht gesagt, welcher Teil des Stiftungsvermögens gemeinnützigen Zwecken gewidmet ist. Ob die Unterstellung unter die Stiftungsaufsicht einen Hinweis auf oder gar Beweis für die fehlende wirtschaftliche Berechtigung des Beschwerdeführenden 2 am von der Beschwerdeführenden 1 gehaltenen UBS-Konto geben kann, kann mit Blick auf den Verfahrensausgang jedoch offen bleiben.</w:t>
      </w:r>
    </w:p>
    <w:p>
      <w:r>
        <w:rPr>
          <w:b/>
        </w:rPr>
        <w:t>E. 4.3.3</w:t>
      </w:r>
    </w:p>
    <w:p>
      <w:r>
        <w:t>Die Beschwerdeführenden weisen des Weiteren darauf hin, dass der Hauptzweck der Beschwerdeführerin 1 die Unterstützung einer wohltätigen Organisation, der Z._______, sei. Aus den Statuten der Beschwerdeführerin 1 ergibt sich, dass das Stiftungsvermögen dieser Organisation nach dem Tod des Beschwerdeführers 2 zukommen soll. Zuvor können gemäss Art. 3 Abs. 3 der Statuten Zuwendungen für wohltätige Zwecke vorgenommen werden. In den Akten lassen sich jedoch keine derartigen Zuwendungen finden. Solche werden auch nicht geltend gemacht. Wenn die ESTV in ihrer Vernehmlassung ausführt, die behauptete karitative Zweckbestimmung könne erst nach dem Ableben des Beschwerdeführers 2 Platz greifen, ist dem zwar - mit den Beschwerdeführenden - entgegenzuhalten, dass gemäss den Statuten Zuwendungen zu wohltätigen Zwecken bereits zu Lebzeiten des Beschwerdeführers 2 möglich sind, die Akten aber dafür sprechen, dass die Auffassung der ESTV - dass nämlich der wohltätige Charakter der Beschwerdeführerin 1 erst nach dem Tod des Beschwerdeführers 2 zum Tragen kommt - nicht von der Hand zu weisen ist.</w:t>
      </w:r>
    </w:p>
    <w:p>
      <w:r>
        <w:rPr>
          <w:b/>
        </w:rPr>
        <w:t>E. 4.3.4</w:t>
      </w:r>
    </w:p>
    <w:p>
      <w:r>
        <w:t>Schliesslich erklären die Beschwerdeführenden, den Statuten und dem Beistatut sei zu entnehmen, dass nach dem Tod der ursprünglichen Begünstigten dem Beschwerdeführer 2 jährlich 5 % des Vermögens (das Beistatut spricht in Art. 2 allerdings von Vermögen und Einkommen [«capital and income»]) der Beschwerdeführerin 1 zu erhalten habe. Sofern dem Beschwerdeführenden 2 keine Befugnisse das Stiftungsvermögen betreffend zuständen, wäre er nicht als wirtschaftlich Berechtigter anzusehen. Aus den Statuten ergibt sich, dass die Beschwerdeführerin 1 unter anderem «[d]ie Unterstützung, Fürsorge und Förderung der im Beistatut bezeichneten Begünstigten; die Bestreitung von Kosten der Ausbildung und der Förderung besonderer Begabungen sowie allgemein die materielle Sicherung und Förderung der Begünstigten wie auch deren Unterstützung im Falle der Verheiratung, Ergreifung eines Berufes oder der Gründung eines Unternehmens» bezweckt (Art. 3 Abs. 2 der Statuten). Diese Unterstützung geht möglicherweise über die im Beistatut bezeichneten 5 % des Stiftungsvermögens hinaus. Es ergibt sich nämlich nirgends, dass diese gemäss dem Beistatut auszurichtende Zuwendung den Zweck gemäss Art. 3 Abs. 2 der Statuten gleichsam abgelten würde. Dass der Beschwerdeführer 2 allenfalls weitere Zuwendungen erhalten kann - ob dies der Fall ist, wäre eine Frage der Interpretation -, führt jedoch nicht automatisch dazu, dass er als am fraglichen Konto wirtschaftlich Berechtigter zu gelten hat. Immer noch ist es nämlich der Stiftungsrat, der über die Zuwendung zu befinden hat. Gegen die wirtschaftliche Berechtigung des Beschwerdeführers 2 am von der Beschwerdeführerin 1 gehaltenen Konto spricht daher Art. 4 der Statuten. In Abs. 1 wird nämlich - zusammengefasst - festgelegt, dass der Stiftungsrat - innerhalb der vom Zweckartikel gesetzten Schranken - nach freiem Ermessen den Stiftungsgenuss an die im Beistatut bezeichneten Begünstigten zuwendet. Ausserdem sind die Stiftungsbegünstigung sowie die zugesprochenen, noch nicht ausgerichteten Zuwendungen gemäss Abs. 2 dieses Artikels höchstpersönlich, unveräusserlich, nicht vererblich und nicht belastbar. Schliesslich geht aus Art. 5 der Statuten hervor, dass der Beschwerdeführer 2 auf die Zusammensetzung des Stiftungsrates keinerlei Einfluss hat. Dies wird durch die Aktenlage untermauert: Den Akten lassen sich bezüglich des Beschwerdeführers 2 nur die jährlichen Überweisungen in den Jahren 2005 bis 2008 an denselben entnehmen. Weitere Zahlungen an den Beschwerdeführer 2 sind nicht ersichtlich. Im Übrigen findet sich nirgends ein Hinweis darauf, dass der Beschwerdeführer 2 die UBS AG kontaktiert hätte.</w:t>
      </w:r>
    </w:p>
    <w:p>
      <w:r>
        <w:rPr>
          <w:b/>
        </w:rPr>
        <w:t>E. 4.4</w:t>
      </w:r>
    </w:p>
    <w:p>
      <w:r>
        <w:t>Bezüglich der oben genannten (E. 3.2), nicht abschliessend aufgezählten Kriterien, welche jedoch lediglich Indizien für die wirtschaftliche Berechtigung sind, kann hier festgehalten werden, dass der Beschwerdeführer 2 keines erfüllt. Er ist zwar zurzeit der einzige im Beistatut bezeichnete Begünstigte, doch kann der Stiftungsrat gemäss den Statuten daneben Zuwendungen zu wohltätigen Zwecken machen, was die Rolle des Beschwerdeführers 2 als einzigem Begünstigten relativiert. Zudem besteht die Nachfolgeregelung in der Zuwendung an eine Organisation, wobei der Beschwerdeführer 2 diese weder selbst getroffen hat noch sie ändern kann. Er kann die Stiftungsbegünstigung sowie die zugesprochenen, noch nicht ausgerichteten Zuwendungen weder veräussern noch vererben noch belasten. Sie sind höchstpersönlich (Art. 4 Abs. 2 der Statuten, vgl. auch Art. 5 des Beistatuts; vgl. E. 4.3.3 zuvor). Damit entzieht sich dem Beschwerdeführer 2 auch die Befugnis, die Nachfolge zu regeln. Er hat also weder Entscheidungsbefugnis darüber, wie das Vermögen auf dem UBS Konto verwaltet werden soll, noch kann er über die Verwendung der daraus erzielten Einkünfte bestimmen (vgl. E. 3.1).</w:t>
      </w:r>
    </w:p>
    <w:p>
      <w:r>
        <w:rPr>
          <w:b/>
        </w:rPr>
        <w:t>E. 4.5</w:t>
      </w:r>
    </w:p>
    <w:p>
      <w:r>
        <w:t>Zusammengefasst ergibt sich damit aus den Statuten und dem Beistatut, dass der Beschwerdeführer 2 nicht berechtigt ist, Einfluss - sei es direkt, sei es indirekt über den Stiftungsrat - auf das Konto der Beschwerdeführerin 1 zu nehmen. Dies wird durch die Aktenlage, aus der sich kein Hinweis auf eine irgendwie geartete Einflussnahme des Beschwerdeführers 2 auf die Geschäfte der Beschwerdeführerin 1 ergibt, erhärtet. Die von den Beschwerdeführenden ins Recht gelegten Urkunden (Statuten und das Beistatut) sind somit - unterstützt durch die Aktenlage - geeignet, die Sachverhaltsannahme der Vorinstanz zu entkräften. Der Beschwerdeführer 2 kann somit nicht als am von der Beschwerdeführerin 1 gehaltenen Konto wirtschaftlich berechtigt gelten. Damit ist zumindest eines der im Staatsvertrag 10 genannten Kriterien gemäss Kategorie 2/B/b nicht erfüllt. Die Beschwerde ist damit begründet.</w:t>
      </w:r>
    </w:p>
    <w:p>
      <w:r>
        <w:rPr>
          <w:b/>
        </w:rPr>
        <w:t>E. 4.6</w:t>
      </w:r>
    </w:p>
    <w:p>
      <w:r>
        <w:t>Was schliesslich den Antrag der Beschwerdeführenden betrifft, es sei die ESTV anzuweisen, die im Amtshilfeverfahren erhobenen Dokumente vollständig an die Beschwerdeführerin 1 herauszugeben, so ist es nicht Aufgabe des Bundesverwaltungsgerichts, darüber zu befinden, wie die Vorinstanz das Urteil umsetzen wird. Deshalb kann das Bundesverwaltungsgericht die Herausgabe der im Amtshilfeverfahren erhobenen Dokumente nicht anordnen. Selbstredend hat sich die Vorinstanz aber bei der Umsetzung des vorliegenden Urteils an die einschlägigen rechtlichen Vorschriften zu halten. Auf das entsprechende Rechtsbegehren der Beschwerdeführenden ist nicht einzutreten.</w:t>
      </w:r>
    </w:p>
    <w:p>
      <w:r>
        <w:rPr>
          <w:b/>
        </w:rPr>
        <w:t>E. 4.7</w:t>
      </w:r>
    </w:p>
    <w:p>
      <w:r>
        <w:t>Nach dem Gesagten ist die Beschwerde im Sinne der Erwägungen gutzuheissen, soweit darauf einzutreten ist, die angefochtene Verfügung aufzuheben und die Amtshilfe zu verweigern. Bei diesem Verfahrensausgang können weitere Ausführungen zu den Vorbringen der Beschwerdeführenden unterbleiben.</w:t>
      </w:r>
    </w:p>
    <w:p>
      <w:r>
        <w:rPr>
          <w:b/>
        </w:rPr>
        <w:t>E. 5</w:t>
      </w:r>
    </w:p>
    <w:p>
      <w:r>
        <w:t>Das Nichteintreten auf einen untergeordneten Punkt wirkt sich wegen Geringfügigkeit nicht auf die Kosten- und Entschädigungsfolgen aus. Ausgangsgemäss wird somit auf die Erhebung von Gerichtskosten verzichtet (Art. 63 Abs. 1 und 2 VwVG) und der bereits geleistete Kostenvorschuss den Beschwerdeführenden zurückerstattet. Den Beschwerdeführenden ist eine angemessene Parteientschädigung zuzusprechen (Art. 64 Abs. 1 VwVG).</w:t>
      </w:r>
    </w:p>
    <w:p>
      <w:r>
        <w:rPr>
          <w:b/>
        </w:rPr>
        <w:t>E. 6</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