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A-5964/2019 vom 13. August 2021</w:t>
      </w:r>
    </w:p>
    <w:p>
      <w:r>
        <w:t>Bundesverwaltungsgericht, 2021-08-13, FR</w:t>
      </w:r>
    </w:p>
    <w:p>
      <w:r>
        <w:rPr>
          <w:b/>
        </w:rPr>
        <w:t xml:space="preserve">Quelle: </w:t>
      </w:r>
      <w:r>
        <w:t>https://mcp.opencaselaw.ch/entscheid/bvger_A-5964_2019</w:t>
      </w:r>
    </w:p>
    <w:p>
      <w:r>
        <w:t>FR: TAF A-5964/2019 du 13 août 2021</w:t>
      </w:r>
    </w:p>
    <w:p>
      <w:r>
        <w:t>IT: TAF A-5964/2019 del 13 agosto 2021</w:t>
      </w:r>
    </w:p>
    <w:p>
      <w:pPr>
        <w:pStyle w:val="Heading2"/>
      </w:pPr>
      <w:r>
        <w:t>Regeste</w:t>
      </w:r>
    </w:p>
    <w:p>
      <w:r>
        <w:t>Assistance administrative</w:t>
      </w:r>
    </w:p>
    <w:p>
      <w:pPr>
        <w:pStyle w:val="Heading2"/>
      </w:pPr>
      <w:r>
        <w:t>Erwägungen</w:t>
      </w:r>
    </w:p>
    <w:p>
      <w:r>
        <w:rPr>
          <w:b/>
        </w:rPr>
        <w:t>E. 1</w:t>
      </w:r>
    </w:p>
    <w:p>
      <w:r>
        <w:t>A._______ (...)</w:t>
      </w:r>
    </w:p>
    <w:p>
      <w:r>
        <w:rPr>
          <w:b/>
        </w:rPr>
        <w:t>E. 1.1</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Selon l'art. 24 LAAF, les dispositions d'exécution fondées sur l'arrêté fédéral du 22 juin 1951 concernant l'exécution des conventions internationales conclues par la Confédération en vue d'éviter les doubles impositions (RS 672.2) demeurent applicables aux demandes d'assistance administrative déposées avant l'entrée en vigueur de la présente loi. Toutefois selon la jurisprudence du Tribunal fédéral, par analogie à l'art. 132 al. 1 de la Loi sur le Tribunal fédéral (LTF, RS 173.110), qui prévoit que cette loi s'applique aux procédures introduites devant le Tribunal fédéral après son entrée en vigueur, la LAAF peut s'appliquer aux procédures de recours si la décision attaquée a été rendue après son entrée en vigueur (ATF 139 II 340 consid. 3).</w:t>
      </w:r>
    </w:p>
    <w:p>
      <w:r>
        <w:rPr>
          <w:b/>
        </w:rPr>
        <w:t>E. 1.2</w:t>
      </w:r>
    </w:p>
    <w:p>
      <w:r>
        <w:t>En l'espèce, la demande d'assistance litigieuse du (...) 2012 et son complément du (...) 2012 ont été déposés avant l'entrée en vigueur de la LAAF. Toutefois, en application de la jurisprudence, dans la mesure où, l'autorité requérante a renouvelé sa demande par courriel du 31 octobre 2018 et où la décision finale de l'AFC a été rendue le 10 octobre 2019 - laquelle retient d'ailleurs que la LAAF est applicable à la présente procédure - le Tribunal retient que la LAAF est applicable (ATF139 II 340 consid. 3). La procédure de recours est au demeurant soumise aux règles générales de la procédure fédérale, sous réserve des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les recourants sont des personnes concernées au sens de l'art. 3 let. a LAAF, de sorte que la qualité pour recourir au sens des art. 19 al. 2 LAAF et 48 PA leur est reconnue.</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1.6</w:t>
      </w:r>
    </w:p>
    <w:p>
      <w:r>
        <w:t>Cela étant précisé, il y a lieu d'entrer en matière sur le recours. 2. 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 / Beusch / Kneubühler, Prozessieren vor dem Bundesverwaltungsgericht, 2e éd., 2013, n°2.149 ; Häfelin / Müller / Uhlmann, Allgemeines Verwaltungsrecht, 7e éd., 2016, n°1146 ss).</w:t>
      </w:r>
    </w:p>
    <w:p>
      <w:r>
        <w:rPr>
          <w:b/>
        </w:rPr>
        <w:t>E. 2</w:t>
      </w:r>
    </w:p>
    <w:p>
      <w:r>
        <w:t>Whether above mentioned individual was/is holding any other bank account with the C._______ Bank, (...).</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2.2</w:t>
      </w:r>
    </w:p>
    <w:p>
      <w:r>
        <w:t>En l'espèce, les recourants se plaignent, en substance, que dans la mesure où il serait de notoriété publique que l'Inde aurait déposé la demande d'assistance en cause, sur la base des données initialement obtenues de manière illicite par Hervé Falciani, l'autorité requérante se serait comportée de manière contraire au principe de la bonne foi ; que dans la mesure où l'AFC aurait confondu la question de savoir s'il existait un lien entre le recourant 1 et la recourante 2, avec la question de savoir si le recourant 1 était titulaire ou non d'un compte ouvert à son nom auprès de C._______ pour la période 2011-2012, dite autorité n'aurait pas répondu correctement à la question suivante, présentée dans la demande d'assistance du (...) 2012 : « Whether A._______ was/is the holder of the bank accounts with the C._______ Bank, (...) having following details » ; que dans la mesure où il ressort des informations dont la transmission est envisagée, à savoir, que la recourante 2 présente un lien avec le G._______ Trust, l'AFC aurait retenu à tort que la recourante 2 était le trustee dudit trust ; que dans la mesure où les personnes suivante, à savoir D._______, F._______, E._______, H._______, I._______, J._______, ne seraient pas impliquées dans la procédure fiscale en Inde, leurs noms devraient être caviardés ; que dans la mesure où les informations dont la transmission est envisagée contiendraient les noms d'une partie des tiers susmentionnés, se rapportant à une période antérieure à la période concernée par la demande d'assistance administrative, leur transmission violerait le champs d'application temporelle de la convention, ce qui impliquerait également une violation subséquente du principe de la pertinence vraisemblable ; que dans la mesure où il ressortirait de l'arrêt du TAF A-837/2019 du 10 juillet 2019, qu'il existerait des doutes sérieux quant au respect du principe de spécialité par l'Inde, la cause devrait être renvoyée à l'AFC pour que cette dernière vérifie concrètement le respect dudit principe et exige des garanties à cet égard en ce qui concerne les tiers susmentionnés.</w:t>
      </w:r>
    </w:p>
    <w:p>
      <w:r>
        <w:rPr>
          <w:b/>
        </w:rPr>
        <w:t>E. 2.3</w:t>
      </w:r>
    </w:p>
    <w:p>
      <w:r>
        <w:t>Le Tribunal examinera d'abord et d'office la question du droit applicable ratione temporis à la demande d'assistance administrative (consid. 3 infra). Il passera ensuite à l'examen du grief relatif au principe de la bonne foi (consid. 4 infra). Les griefs relatifs aux principes de la pertinence vraisemblable et de spécialité seront ensuite examinés (consid. 5 et 6 infra).</w:t>
      </w:r>
    </w:p>
    <w:p>
      <w:r>
        <w:rPr>
          <w:b/>
        </w:rPr>
        <w:t>E. 2.4</w:t>
      </w:r>
    </w:p>
    <w:p>
      <w:r>
        <w:t>Par ailleurs, dans la mesure où l'AFC a expressément admis dans sa réponse du 31 décembre 2019, sans faire usage de son droit de reconsidération (cf. art. 58 PA), que la recourante 2 n'était pas le trustee du G._______ Trust, le grief relatif à cette question doit être admis. Le point 2 du dispositif de la décision finale de l'AFC du 10 octobre 2019 est par conséquent modifié dans le sens que l'indication erronée, selon laquelle B._______ serait le trustee du G._______ Trust, est supprimée. 3. L'assistance administrative avec l'Inde est actuellement régie par la CDI CH-IN - largement calquée sur le Modèle de convention fiscale de l'OCDE concernant le revenu et la fortune (ci-après : MC OCDE) -, par ses protocoles du 2 novembre 1994 en vigueur depuis le 29 décembre 1994 (ci-après : Protocole additionnel 1, RO 1995 845 ; FF 1994 V 221), du 16 février 2000 en vigueur depuis le 20 décembre 2000 (ci-après : Protocole additionnel 2, RO 2001 1477 ; FF 2000 5107), du 30 août 2010 en vigueur depuis le 7 octobre 2011 (ci-après : Protocole additionnel 3, RO 2011 4617 ; FF 2010 8081), et par l'Accord amiable du 2 novembre 1994 entre la Confédération suisse et la République de l'Inde (ci-après : Accord amiable, RO 2012 4105).</w:t>
      </w:r>
    </w:p>
    <w:p>
      <w:r>
        <w:rPr>
          <w:b/>
        </w:rPr>
        <w:t>E. 3</w:t>
      </w:r>
    </w:p>
    <w:p>
      <w:r>
        <w:t>Whether there is any linkage of the above mentioned account/account holder with the bank account of the following entity: S.No. Name of the company Profile client/Account No. 1. B._______ (...)</w:t>
      </w:r>
    </w:p>
    <w:p>
      <w:r>
        <w:rPr>
          <w:b/>
        </w:rPr>
        <w:t>E. 3.1</w:t>
      </w:r>
    </w:p>
    <w:p>
      <w:r>
        <w:t>Les impôts auxquels s'applique la Convention sont notamment, en ce qui concerne l'Inde, l'impôt sur le revenu (art. 2 al. 1 let. a CDI CH-IN). Pour ces impôts, la CDI CH-IN et ses Protocoles sont généralement applicables, en Inde, en ce qui concerne les revenus réalisés au cours des années fiscales commençant le premier avril, ou après cette date, qui suit l'année civile au cours de laquelle la Convention, ou les Protocoles, respectivement, sont entrés en vigueur (art. 28 al. 2 let. a CDI CH-IN ; art. 16 al. 2 let. a du Protocole additionnel 2 ; art. 14 al. 2 let. a du Protocole additionnel 3). L'Accord amiable est quant à lui applicable à partir du 7 octobre 2011 (Accord amiable, in fine).</w:t>
      </w:r>
    </w:p>
    <w:p>
      <w:r>
        <w:rPr>
          <w:b/>
        </w:rPr>
        <w:t>E. 3.2</w:t>
      </w:r>
    </w:p>
    <w:p>
      <w:r>
        <w:t>En l'espèce, dans la mesure où la demande d'assistance administrative porte sur la période fiscale du (...) 1995, ou la date de l'ouverture du compte bancaire concerné, au (...) 2012 ; où le Protocole additionnel 3 n'est applicable qu'aux revenus réalisés au cours des années fiscales commençant dès le 1er avril 2011 ; et où, pour cette raison, l'AFC envisage de transférer des informations qu'à partir de cette date, l'ensemble des dispositions susmentionnées sont applicables à la présente cause. 4. Le principe de la bonne foi (art. 7 al. 1 let. c LAAF) s'applique en tant que principe d'interprétation et d'exécution des traités dans le domaine de l'échange de renseignements des conventions de double imposition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lacunes ou d'erreurs manifestes (arrêts du TAF A-6266/2017 du 24 août 2018 consid. 2.4.1 ; A-5066/2016 du 17 mai 2018 consid. 2.4.1).</w:t>
      </w:r>
    </w:p>
    <w:p>
      <w:r>
        <w:rPr>
          <w:b/>
        </w:rPr>
        <w:t>E. 4</w:t>
      </w:r>
    </w:p>
    <w:p>
      <w:r>
        <w:t>Name, address and bank account number of the Introducer while opening the account.</w:t>
      </w:r>
    </w:p>
    <w:p>
      <w:r>
        <w:rPr>
          <w:b/>
        </w:rPr>
        <w:t>E. 4.1</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4.2</w:t>
      </w:r>
    </w:p>
    <w:p>
      <w:r>
        <w:t>Les recourants se plaignent, en substance, qu'il serait de notoriété publique que l'Inde aurait déposé la demande d'assistance en cause, sur la base des données initialement obtenues de manière illicite par Hervé Falciani. L'autorité requérante se serait, de ce fait comportée de manière contraire au principe de la bonne foi.</w:t>
      </w:r>
    </w:p>
    <w:p>
      <w:r>
        <w:rPr>
          <w:b/>
        </w:rPr>
        <w:t>E. 4.3</w:t>
      </w:r>
    </w:p>
    <w:p>
      <w:r>
        <w:t>Le Tribunal a déjà eu l'occasion de préciser que, dans la mesure où l'Etat requérant n'a pas fourni de garantie à cet égard, en application de la jurisprudence du Tribunal fédéral (cf. ATF 143 II 224), le fait de fonder une demande d'assistance sur des données volées, soit des données acquises par des actes effectivement punissables au regard du droit suisse dans le sens très restrictif que lui a donné la jurisprudence (cf. ATF 143 II 202 consid. 8.5.1), ne constitue pas en soi une violation du principe de la bonne foi reconnue en droit international public (cf. arrêt du Tribunal administratif fédéral A-6391/2016 du 17 janvier 2018 consid. 5.2.1.2, confirmé par le Tribunal fédéral dans l'arrêt 2C_88/2018 du 7 décembre 2018).</w:t>
      </w:r>
    </w:p>
    <w:p>
      <w:r>
        <w:rPr>
          <w:b/>
        </w:rPr>
        <w:t>E. 4.4</w:t>
      </w:r>
    </w:p>
    <w:p>
      <w:r>
        <w:t>A cet égard, il apparaît que l'Inde n'est pas entrée en possession des données en question auprès de l'auteur présumé de l'acte punissable (Hervé Falciani), mais par le biais de l'assistance administrative avec un pays tiers (cf. arrêts du Tribunal administratif fédéral A-2540/2017 du 7 septembre 2017 consid. 5.2.2 et A-778/2017 du 5 juillet 2017 consid. 6.2), ce que les recourants ne remettent d'ailleurs pas en cause. Ainsi, il apparaît que l'Inde n'a pas acheté ces données (cf. arrêt du Tribunal fédéral 2C_141/2018 du 24 juillet 2020 consid. 6.2.3). Au surplus, l'art. 26 par. 3 let. b CDI CH-IN ne permet pas de refuser d'entrer en matière sur une demande d'assistance administrative en raison de la manière dont l'Etat requérant s'est procuré les données qui ont abouti à la formulation de la demande (cf. ATF 143 II 202 consid. 6.3.6).</w:t>
      </w:r>
    </w:p>
    <w:p>
      <w:r>
        <w:rPr>
          <w:b/>
        </w:rPr>
        <w:t>E. 4.5</w:t>
      </w:r>
    </w:p>
    <w:p>
      <w:r>
        <w:t>Par ailleurs, le Tribunal relève que la correspondance échangée entre l'autorité requérante et l'AFC ne mentionne aucun élément attestant d'un quelconque engagement de l'Inde de ne pas déposer une demande d'assistance sur la base de données obtenues de manière illicite selon le droit suisse. En outre, le Tribunal fédéral a expressément précisé qu'il ne ressortait ni de la rubrique « Progress on 7(c) [LAAF] » de la note du 19 août 2016 concernant la discussion entre l'AFC et les autorités indiennes, ni des déclarations conjointes des 15 octobre 2014 et 15 juin 2016 du Revenue Secretary de l'Inde et du Secrétaire d'État suisse aux affaires financières internationales, que l'Inde se serait engagée à s'abstenir d'utiliser des données dont la provenance serait contraire au droit suisse (arrêts du Tribunal fédéral 2C_819/2017 du 2 août 2018 consid. 3.1 ; 2C_648/2017 du 17 juillet 2018 consid. 3.1 ; arrêts du Tribunal administratif fédéral A-2540/2017 du 7 septembre 2017 consid. 5.2.4 et A-778/2017 du 5 juillet 2017 consid. 6).</w:t>
      </w:r>
    </w:p>
    <w:p>
      <w:r>
        <w:rPr>
          <w:b/>
        </w:rPr>
        <w:t>E. 4.6</w:t>
      </w:r>
    </w:p>
    <w:p>
      <w:r>
        <w:t>Au vu de ces éléments, le Tribunal ne retient pas que la présomption de bonne foi ait été renversée et le grief des recourants est ainsi rejeté sur ce point. 5. Aux termes de l'art. 26 CDI CH-IN,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de la Constitution fédérale de la Confédération suisse, RS 101),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5</w:t>
      </w:r>
    </w:p>
    <w:p>
      <w:r>
        <w:t>List of all the beneficiaries of the accounts, whether in past or present.</w:t>
      </w:r>
    </w:p>
    <w:p>
      <w:r>
        <w:rPr>
          <w:b/>
        </w:rPr>
        <w:t>E. 5.1</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cf. consid. 4 ss supra).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5.2</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5.3</w:t>
      </w:r>
    </w:p>
    <w:p>
      <w:r>
        <w:t>Sur le plan formel, le chiffre 10 ad art. 26 du Protocole additionnel prévoit que la demande d'assistance doit indiquer : (i) le nom de la ou des personnes visées par le contrôle ou l'enquête et, si disponibles, les autres éléments qui facilitent l'identification de cette ou de ces personnes tels que l'adresse, la date de naissance, l'état-civil ou le numéro d'identification fiscale ; (ii) la période visée par la demande ; (iii) une description des renseignements demandés comportant leur nature et la forme selon laquelle l'Etat requérant désire recevoir les renseignements de l'Etat requis ; (iv) l'objectif fiscal qui fonde la demande ; (v) le nom et, si elle est connue, l'adresse de toute personne présumée être en possession des renseignements requis.</w:t>
      </w:r>
    </w:p>
    <w:p>
      <w:r>
        <w:rPr>
          <w:b/>
        </w:rPr>
        <w:t>E. 5.4</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5.5</w:t>
      </w:r>
    </w:p>
    <w:p>
      <w:r>
        <w:t>En l'espèce, à titre général et avant de passer à l'examen spécifique des griefs présentés par les recourants, le Tribunal constate que la demande d'assistance administrative du (...) 2012, son complément du (...) 2012 et le courriel du 31 octobre 2018 contiennent l'ensemble des éléments énumérés par le chiffre 10 ad art. 26 du Protocole additionnel. Par ailleurs, il apparaît que les informations requises sont constitutives du complexe de faits que l'autorité requérante cherche à éclaircir par sa demande. Ainsi, il existe une possibilité raisonnable que les renseignements demandés se révéleront pertinents. En revanche, peu importe qu'une fois fournis, il s'avère que l'information demandée soit finalement non pertinente (arrêt du TF 2C_764/2018 du 7 juin 2019 consid. 5.1). Il existe un rapport entre l'état de fait décrit et les documents requis, étant précisé que l'Inde est présumé agir de bonne foi (arrêt du TAF A-6266/2017 du 24 août 2018 consid. 2.3.2 ; sur la condition de la bonne foi, cf. consid. 4 ss supra). L'appréciation de la pertinence vraisemblable des informations demandées est ainsi en premier lieu du ressort de l'Inde ; il n'incombe pas aux autorités administratives et judiciaires suisses requises de refuser une demande ou la transmission des informations parce qu'elles seraient d'avis qu'elles manqueraient de pertinence pour l'enquête ou le contrôle sous-jacents (voir ATF 142 II 161 consid. 2.1.1, 2.1.4 et 2.4 ; arrêts du TAF A-6266/2017 du 24 août 2018 consid. 2.3.2 ; A-5066/2016 du 17 mai 2018 consid. 2.3.2 ; A-4434/2016 du 18 janvier 2018 consid. 3.6.2).</w:t>
      </w:r>
    </w:p>
    <w:p>
      <w:r>
        <w:rPr>
          <w:b/>
        </w:rPr>
        <w:t>E. 5.6</w:t>
      </w:r>
    </w:p>
    <w:p>
      <w:r>
        <w:t>Selon les recourants, dans la mesure l'AFC aurait confondu la question de savoir s'il existe un lien entre le recourant 1 et la recourante 2, avec la question de savoir si le recourant 1 était titulaire ou non d'un compte ouvert à son nom auprès de C._______ pour la période 2011-2012, dite autorité n'aurait pas répondu correctement à la question suivante présentée dans la demande d'assistance du (...) 2012 : « Whether A._______ was/is the holder of the bank accounts with the C._______ Bank, (...) having following details ».</w:t>
      </w:r>
    </w:p>
    <w:p>
      <w:r>
        <w:rPr>
          <w:b/>
        </w:rPr>
        <w:t>E. 5.7</w:t>
      </w:r>
    </w:p>
    <w:p>
      <w:r>
        <w:t>A cet égard, le Tribunal relève que la demande complémentaire du (...) 2012 requiert ce qui suit : 1. Details of all bank account(s) held by / linked with A._______ in C._______ Bank, Switzerland, at any time in the past or present, whose Internal Identifier (Identifiants Internes) are as under: S. No BUP_SIFIC_PER_ID PER_ID PER_NO 1 (...) (...) (...) A._______, with the aforementioned identification details is linked with the following bank account:- [sic!] S.No. Nom Du profil client Code Profile Client Liste des IBAN 1. B._______ REF. (...) (...) (...) Other related person to customer profile are as under: (...) 2. Copies of the above mentioned account statements of the bank account(s) with complete narration, for the period from (...) 1995 or date of opening of account whichever is later to (...) 2012. 3. Copies of the account opening forms including documents submitted as proof of identity by the individual. 4. Name, address and bank account number of the Introducer while opening the account. 5. List of all the beneficiaries of the accounts, whether in past or present. 6. Names of beneficial owners and ultimate beneficial owners, whether in past, or in present &amp; details of their transactions and accounts. 7. Name and address of the power of attorney holders, authorized signatories, beneficiaries and other persons related to the account. 8. If there is a portfolio associated with the account, the statement of the portfolio account from (...) 1995 or date of opening of account whichever is later to (...) 2012.</w:t>
      </w:r>
    </w:p>
    <w:p>
      <w:r>
        <w:rPr>
          <w:b/>
        </w:rPr>
        <w:t>E. 5.8</w:t>
      </w:r>
    </w:p>
    <w:p>
      <w:r>
        <w:t>Selon la jurisprudence, lorsque les renseignements demandés portent non seulement sur des personnes concernées au sens de l'art. 4 al. 3 LAAF, mais aussi sur des tiers non impliqués, il appartient à l'autorité saisie de procéder à une pesée des intérêts (cf. art. 5 al. 2 Cst). Cela signifie que l'Etat requis doit supprimer les indications relatives aux tiers non concernés lorsqu'elles sont sans incidence sur la demande (par exemple le nom des employés de banque qui n'ont rien à voir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Les tiers dont les noms apparaissent sur de tels documents sont au demeurant protégés par le principe de spécialité (cf. consid. 6 ss infra). A la clôture de la procédure, l'autorité requise doit en effet rappeler à l'autorité requérante les restrictions à l'utilisation des renseignements transmis et l'obligation de maintenir le secret (ATF 142 II 161 consid. 4.6.1 et les références citées).</w:t>
      </w:r>
    </w:p>
    <w:p>
      <w:r>
        <w:rPr>
          <w:b/>
        </w:rPr>
        <w:t>E. 5.9</w:t>
      </w:r>
    </w:p>
    <w:p>
      <w:r>
        <w:t>En règle générale, il n'appartient pas au Tribunal de céans de vérifier en détail quelles informations sont, ou non, à caviarder. Cette tâche revient à l'AFC en tant qu'autorité exécutant l'assistance administrative (art. 2 LAAF). En d'autres termes,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visés par une éventuelle transmission à l'autorité requérante (cf. arrêt du Tribunal administratif fédéral A-2523/2015 du 9 avril 2018 consid. 4.6.4 et 4.6.7 ainsi que l'arrêt A-907/2017 du 14 novembre 2017 consid. 4.2).</w:t>
      </w:r>
    </w:p>
    <w:p>
      <w:r>
        <w:rPr>
          <w:b/>
        </w:rPr>
        <w:t>E. 5.10</w:t>
      </w:r>
    </w:p>
    <w:p>
      <w:r>
        <w:t>Selon les recourants, les personnes D._______, F._______, E._______, H._______, I._______, J._______, ne seraient pas impliquées dans la procédure fiscale en Inde, objet de la présente demande d'assistance administrative. Lesdits noms devraient ainsi être caviardés dans les informations à transmettre à l'autorité requérante.</w:t>
      </w:r>
    </w:p>
    <w:p>
      <w:r>
        <w:rPr>
          <w:b/>
        </w:rPr>
        <w:t>E. 5.11</w:t>
      </w:r>
    </w:p>
    <w:p>
      <w:r>
        <w:t>A titre préliminaire, le Tribunal rappelle qu'en principe, dans la mesure où le recourant ne devrait pas être légitimé à formuler des conclusions pour faire valoir les intérêts de tiers (arrêt du TF 2C_1037/2019 du 27 août 2020 [destiné à la publication] consid. 6.2 ; ATF 143 II 506 consid. 5.1 ; 132 II 162 consid. 2.1.2), le grief de la protection des tiers pourrait être considéré comme irrecevable. Au surplus, le Tribunal note que les noms des tiers mentionnés dans les informations dont la transmission est envisagée présentent tous une relation directe avec les comptes bancaires concernés (arrêt du Tribunal administratif fédéral A-2523/2015 du 9 avril 2018 consid. 4.6.4 et 4.6.7 ainsi que l'arrêt A-907/2017 du 14 novembre 2017 consid. 4.2). Ainsi, les informations requises sont constitutives du complexe de faits que l'autorité requérante cherche à éclaircir par sa demande. Pour ce motif et les raisons déjà exposées, à titre général, au consid. 5.5 ci-dessus, le Tribunal retient que la transmission des noms des tiers précités, telle qu'envisagée par l'AFC, est proportionnée et conforme au droit (ATF 142 II 161 consid. 4.6.1 et les références citées). En conséquence, dans la mesure où il serait recevable, le grief du recourant devrait de toute façon être rejeté. Le Tribunal rappelle au demeurant que les tiers dont les noms apparaissent sur de tels documents sont protégés par le principe de spécialité (cf. consid. 6 infra).</w:t>
      </w:r>
    </w:p>
    <w:p>
      <w:r>
        <w:rPr>
          <w:b/>
        </w:rPr>
        <w:t>E. 5.12</w:t>
      </w:r>
    </w:p>
    <w:p>
      <w:r>
        <w:t>Selon la jurisprudence, la relation entre la banque et ses clients est de nature contractuelle et s'inscrit dans la durée. Pour cette raison, l'assistance administrative ne peut se limiter aux faits survenus après le 1er avril 2011. Ainsi, les documents d'ouverture de compte bancaire, autres accords et documents KYC, créés avant le 1er avril 2011, qui régissent la relation entre la banque et le client pendant toute sa durée contractuelle, doivent être transmis si les conditions de l'assistance administrative sont remplies et que la relation contractuelle se poursuit après le 1er avril 2011. Cependant, les passages des documents susmentionnés, dont la pertinence pour les années d'imposition à compter du 1er avril 2011 est peu probable, peuvent être caviardés. Ceci s'applique également au « profil client » (arrêt du TF 2C_703/2020 du 12 mars 2021 consid. 7.4.2).</w:t>
      </w:r>
    </w:p>
    <w:p>
      <w:r>
        <w:rPr>
          <w:b/>
        </w:rPr>
        <w:t>E. 5.13</w:t>
      </w:r>
    </w:p>
    <w:p>
      <w:r>
        <w:t>Ainsi, l'envoi d'un « profil client » à l'État requérant dans le cadre des documents d'ouverture de compte bancaire est finalement jugé à l'aune de son importance pour les exercices fiscaux à partir de l'année 2011. Le facteur déterminant pour cette évaluation est le fait que le « profil client » permet de tirer des conclusions sur les relations entre les bénéficiaires effectifs. Ces informations sont pertinentes dans le cadre de la clarification de l'ayant droit économique lors de l'ouverture du compte bancaire pour tous les exercices fiscaux à partir de l'année 2011 (arrêt du TF 2C_703/2020 du 12 mars 2021 consid. 7.4.3).</w:t>
      </w:r>
    </w:p>
    <w:p>
      <w:r>
        <w:rPr>
          <w:b/>
        </w:rPr>
        <w:t>E. 5.14</w:t>
      </w:r>
    </w:p>
    <w:p>
      <w:r>
        <w:t>Selon les recourants, dans la mesure où les informations dont la transmission est envisagée contiendraient les noms de certains tiers susmentionnés, se rapportant à une période antérieure à la période concernée par la demande d'assistance administrative, leur transmission violerait le champ d'application temporel de la convention, ce qui impliquerait également une violation subséquente du principe de la pertinence vraisemblable.</w:t>
      </w:r>
    </w:p>
    <w:p>
      <w:r>
        <w:rPr>
          <w:b/>
        </w:rPr>
        <w:t>E. 5.15</w:t>
      </w:r>
    </w:p>
    <w:p>
      <w:r>
        <w:t>En l'espèce, il apparaît que des documents à transmettre ont été créés avant le 1er avril 2011 et régissent la relation entre la banque et le client pendant la durée contractuelle (arrêt du TF 2C_703/2020 du 12 mars 2021 consid. 7.4.2). Etant donné que ces documents permettent de clarifier que le recourant 1 est l'ayant droit économique du compte bancaire concerné pour tous les exercices fiscaux à partir de l'année 2011, ils doivent être considérés comme vraisemblablement pertinents pour la taxation du recourant 1 (arrêt du TF 2C_703/2020 du 12 mars 2021 consid. 7.4.3). Pour le surplus, ce qui a été exposé au consid. 5.11 ci-dessus, concernant la mention de noms de tiers dans les documents à transmettre à l'autorité requérante, est également applicable aux documents créés avant le 1er avril 2011. Partant, la transmission envisagée par l'AFC desdits documents à l'autorité fiscale indienne doit être considérée comme conforme au droit, ce qui exclut d'emblée toute violation du principe de la pertinence vraisemblable sur ce point. 6. Le principe de spécialité veut que l'Etat requérant n'utilise les informations reçues de l'Etat requis qu'à l'égard des personnes et des agissements pour lesquels il les a demandées et pour lesquels elles lui ont été transmises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 ATF 147 II 13 consid. 3.4).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 et A-5066/2017 du 17 mai 2018 consid. 2.6).</w:t>
      </w:r>
    </w:p>
    <w:p>
      <w:r>
        <w:rPr>
          <w:b/>
        </w:rPr>
        <w:t>E. 6</w:t>
      </w:r>
    </w:p>
    <w:p>
      <w:r>
        <w:t>Names of beneficial owners and ultimate beneficial owners, whether in past, or in present &amp; details of their transactions and accounts.</w:t>
      </w:r>
    </w:p>
    <w:p>
      <w:r>
        <w:rPr>
          <w:b/>
        </w:rPr>
        <w:t>E. 6.1</w:t>
      </w:r>
    </w:p>
    <w:p>
      <w:r>
        <w:t>Selon les recourants dans la mesure où il ressortirait de l'arrêt du TAF A-837/2019 du 10 juillet 2019 qu'il existerait des doutes sérieux quant au respect du principe de spécialité par l'Inde, la cause devrait être renvoyée à l'AFC pour que cette dernière vérifie concrètement le respect dudit principe et exige des garanties à cet égard de l'autorité requérante en ce qui concerne les tiers mentionnés ci-dessus.</w:t>
      </w:r>
    </w:p>
    <w:p>
      <w:r>
        <w:rPr>
          <w:b/>
        </w:rPr>
        <w:t>E. 6.2</w:t>
      </w:r>
    </w:p>
    <w:p>
      <w:r>
        <w:t>En l'espèce, il apparaît que l'Inde ne peut utiliser les informations reçues de la Suisse qu'à l'égard des personnes et des agissements pour lesquels il les a demandées, soit à l'égard du recourant 1, et pour lesquels elles lui ont été transmises (ATF 147 II 13 consid. 3.7 ; arrêts du TAF A-5046/2018 du 22 mai 2019 consid. 4 et 5 ; A-4434/2016 du 18 janvier 2018 consid. 3.9.1 ; A-2321/2017 du 20 décembre 2017 consid. 3.9.1). L'Inde ne peut faire usage, à l'encontre de tiers, des renseignements qu'elle a reçus par la voie de l'assistance administrative, que si cette possibilité résulte de la loi des deux Etats et que l'autorité compétente suisse autorise cette utilisation (ATF 146 I 172 consid. 7.1.3 ; 147 II 13 consid. 3.4). Par ailleurs, la demande d'assistance administrative du 4 janvier 2012 précise ce qui suit : The information is required purely for taxation purposes only and will be used solely for taxation purposes. Le complément du (...) 2012 mentionne : (i) All the information received in relation to this request will be kept confidential and used only for the purposes permitted in the Agreement which forms the basis for this request; Enfin, selon le chiffre 3 du dispositif de la décision de l'AFC du 10 octobre 2019 : [L'AFC décide] d'informer les autorités compétentes indiennes que les informations citées au ch. 2 sont soumises dans l'Etat requérant aux restrictions d'utilisation et obligations de confidentialité prévues par la Convention (art. 26 par. 2 CDI CH-IN). Au vu de ces déclarations expresses et étant donné que les recourants n'ont fourni aucun élément établi et concret susceptible de renverser la présomption de bonne foi de l'autorité requérante (cf. consid. 4 ss supra), il apparaît qu'il n'y a pas de raison objective permettant de remettre en cause le respect du principe de spécialité. A cet égard, le Tribunal précise que, contrairement à ce que prétendent les recourants, l'arrêt du TAF A-837/2019 du 10 juillet 2019 ne tranche pas la question du respect du principe de spécialité par l'autorité requérante, mais se contente de renvoyer la cause pour réexamen auprès de l'AFC, pour des raisons procédurales en lien avec la production d'une nouvelle pièce dans le cadre de la procédure de recours. Compte tenu de la jurisprudence du Tribunal fédéral du 13 juillet 2020 (cf. ATF 147 II 13 consid. 3.5 ; arrêt du TF 2C_545/2019 consid. 4.7 ; arrêt du TAF A-3035/2020 du 17 mars 2021 consid. 7.4.3), intervenue après la décision attaquée en l'espèce, l'autorité inférieure précisera au chiffre 3 de son dispositif que les informations transmises ne pourront être utilisées qu'à l'encontre du recourant 1 dans le cadre d'une procédure conformément à l'art. 26 CDI CH-IN. Ainsi, aucun élément ne permet de douter en l'espèce du respect du principe de spécialité par l'autorité requérante. 7. Compte tenu des considérants qui précèdent, le Tribunal constate que la décision litigieuse satisfait aux exigences de l'assistance administrative en matière fiscale. Dans la mesure où le grief relatif à la suppression de l'indication erronée, selon laquelle B._______ serait le trustee du G._______ Trust, est admis (cf. consid. 2.4 supra) et où les autres griefs s'avèrent mal fondés, le recours doit par conséquent être très partiellement admis dans la mesure de sa recevabilité. 8. Les frais de procédure se montent, compte tenu de la charge de travail liée à la procédure, à 5'000 francs (art. 63 al. 1 PA et art. 4 du règlement du 21 février 2008 concernant les frais, dépens et indemnités fixés par le Tribunal administratif fédéral [FITAF, RS 173.320.2]). Dès lors que les recourants ne sont que partiellement déboutés, ces frais sont réduits d'un cinquième et sont arrêtés à 4'000 francs (art. 63 al. 1 PA). Ils seront prélevés sur l'avance de frais de 5'000 francs déjà versée et le solde de 1'000 francs sera restitué aux recourants une fois le présent arrêt entré en force. Aucun frais de procédure n'est mis à la charge de l'autorité inférieure (art. 63 al. 2 PA).</w:t>
      </w:r>
    </w:p>
    <w:p>
      <w:r>
        <w:rPr>
          <w:b/>
        </w:rPr>
        <w:t>E. 7</w:t>
      </w:r>
    </w:p>
    <w:p>
      <w:r>
        <w:t>Name and address of the power of attorney holders, authorized signatories, beneficiaries and other persons related to the account.</w:t>
      </w:r>
    </w:p>
    <w:p>
      <w:r>
        <w:rPr>
          <w:b/>
        </w:rPr>
        <w:t>E. 8</w:t>
      </w:r>
    </w:p>
    <w:p>
      <w:r>
        <w:t>If there is a portfolio associated with the account, the statement of the portfolio account from (...) 1995 or date of opening of account whichever is later to (...) 2012.</w:t>
      </w:r>
    </w:p>
    <w:p>
      <w:r>
        <w:rPr>
          <w:b/>
        </w:rPr>
        <w:t>E. 9</w:t>
      </w:r>
    </w:p>
    <w:p>
      <w:r>
        <w:t>La partie qui obtient entièrement ou partiellement gain de cause se voit allouer, d'office ou sur requête, des dépens pour les frais nécessaires causés par le litige (art. 64 al. 1 PA et art. 7 ss FITAF). Il n'y a normalement pas de dépens pour la procédure administrative de première instance devant l'AFC en matière d'assistance administrative internationale (arrêts du TAF A-1538/2018 du 11 novembre 2019 consid. 6.2 ; A-2317/2016 du 21 mars 2017 consid. 4 ; ATF 132 II 47 consid. 5.2)</w:t>
      </w:r>
    </w:p>
    <w:p>
      <w:r>
        <w:rPr>
          <w:b/>
        </w:rPr>
        <w:t>E. 9.1</w:t>
      </w:r>
    </w:p>
    <w:p>
      <w:r>
        <w:t>En l'espèce, les recourants n'ont pas conclu à l'allocation de dépens et n'ont au surplus pas produit de note d'honoraire répondant aux exigences de forme (arrêts du TAF A-1538/2018 du 11 novembre 2019 consid. 6.2 ; A-2317/2016 du 21 mars 2017 consid. 4 et A-4232/2013 du 17 décembre 2013 consid. 8.1). Dans la mesure où les recourants n'obtiennent que très partiellement gain de cause (cf. consid. 7 supra), les dépens sont calculés forfaitairement (arrêt du TAF A-1538/2018 du 11 novembre 2019 consid. 6.2). Ainsi, l'autorité inférieure devra verser aux recourants une indemnité de 1'500 francs, à titre de dépens, une fois le présent arrêt entré en force. Ce montant s'entend hors TVA puisque les recourants sont domiciliés à l'étranger (arrêts du TAF A-1538/2018 du 11 novembre 2019 consid. 6.2 ; A-2317/2016 du 21 mars 2017 consid. 4). Les dépens ne comprennent ainsi aucun supplément TVA au sens de l'art. 9 al. 1 let. c FITAF (arrêt du TAF A-1538/2018 du 11 novembre 2019 consid. 6.2).</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