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A-5962/2018 vom 3. Oktober 2019</w:t>
      </w:r>
    </w:p>
    <w:p>
      <w:r>
        <w:t>Bundesverwaltungsgericht, 2019-10-03, DE</w:t>
      </w:r>
    </w:p>
    <w:p>
      <w:r>
        <w:rPr>
          <w:b/>
        </w:rPr>
        <w:t xml:space="preserve">Quelle: </w:t>
      </w:r>
      <w:r>
        <w:t>https://mcp.opencaselaw.ch/entscheid/bvger_A-5962_2018</w:t>
      </w:r>
    </w:p>
    <w:p>
      <w:r>
        <w:t>FR: TAF A-5962/2018 du 3 octobre 2019</w:t>
      </w:r>
    </w:p>
    <w:p>
      <w:r>
        <w:t>IT: TAF A-5962/2018 del 3 ottobre 2019</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zumal sie öffentlich-rechtliche Aufgaben des Bundes erfüllt (Art. 33 Bst. h VGG i.V.m. Art. 60 Abs. 2bis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Der Beschwerdeführer ist als Adressat und Betroffener zur Erhebung der vorliegenden Beschwerde berechtigt (Art. 48 Abs. 1 VwVG).</w:t>
      </w:r>
    </w:p>
    <w:p>
      <w:r>
        <w:rPr>
          <w:b/>
        </w:rPr>
        <w:t>E. 1.3</w:t>
      </w:r>
    </w:p>
    <w:p>
      <w:r>
        <w:t>Auf die im Übrigen frist- und formgerecht eingereichte Beschwerde (Art. 50 Abs. 1 und Art. 52 Abs. 1 VwVG) ist demnach - vorbehältlich des nachfolgend unter E. 1.4 Ausgeführten - einzutreten.</w:t>
      </w:r>
    </w:p>
    <w:p>
      <w:r>
        <w:rPr>
          <w:b/>
        </w:rPr>
        <w:t>E. 1.4</w:t>
      </w:r>
    </w:p>
    <w:p>
      <w:r>
        <w:t>Soweit die Beschwerdeführer in Ziff. 1 seines Rechtsbegehrens ein Feststellungsbegehren stellt, ist darauf hinzuweisen, dass ein solches - abgesehen von hier nicht einschlägigen Ausnahmen - praxisgemäss nur zulässig ist, wenn das geltend gemachte schutzwürdige Interesse nicht ebenso gut mit einer Leistungs- oder Gestaltungsverfügung gewahrt wer-den kann (sog. Subsidiarität der Feststellungsverfügung; Urteil des BVGer A-719/2018 vom 2. Mai 2019 E. 1.3, ISABELLE HÄNER, in: Praxiskommentar Verwaltungsverfahrensgesetz, 2. Aufl. 2016, Art. 25 Rz. 17 ff.). Vorliegend wird kein weitergehendes schutzwürdiges Interesse substantiiert geltend gemacht oder wäre ersichtlich, welches nicht bereits mit der beantragten Aufhebung der angefochtenen Verfügung in gestaltender Weise gewahrt würde. Folglich ist auf das Feststellungsbegehren, welchem im vorliegenden Zusammenhang keine selbständige Bedeutung zukommt, nicht einzutreten.</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2013, Rz. 2.149 ff.; Ulrich Häfelin/Georg Müller/Felix Uhlmann, Allgemeines Verwaltungsrecht, 7. Aufl. 2016, Rz. 1146 ff.).</w:t>
      </w:r>
    </w:p>
    <w:p>
      <w:r>
        <w:rPr>
          <w:b/>
        </w:rPr>
        <w:t>E. 2.2</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(zum Ganzen: MO-SER/BEUSCH/KNEUBÜHLER, a.a.O., Rz. 1.49, mit weiteren Hinweisen). Die Beschwerdeinstanz ist jedenfalls nicht verpflichtet, über die tatsächlichen Vorbringen der Parteien hinaus den Sachverhalt vollkommen neu zu erfor-schen (statt vieler: Urteil des BVGer A-2764/2018 vom 23. Mai 2019 E. 1.7.1; MO/SER/BEUSCH/KNEUBÜHLER, a.a.O., Rz. 1.52).</w:t>
      </w:r>
    </w:p>
    <w:p>
      <w:r>
        <w:rPr>
          <w:b/>
        </w:rPr>
        <w:t>E. 2.3</w:t>
      </w:r>
    </w:p>
    <w:p>
      <w:r>
        <w:t>Sodann gilt im Beschwerdeverfahren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(Urteil des BVGer A-349/2019 vom 22. August 2019 E. 1.3; MOSER/BEUSCH/KNEUBÜHLER, a.a.O., Rz. 1.54).</w:t>
      </w:r>
    </w:p>
    <w:p>
      <w:r>
        <w:rPr>
          <w:b/>
        </w:rPr>
        <w:t>E. 3.1</w:t>
      </w:r>
    </w:p>
    <w:p>
      <w:r>
        <w:t>Der Beschwerdeführer rügt eine Verletzung seines rechtlichen Gehörs, da ihm als juristischem Laien, der im Vorverfahren noch nicht anwaltlich vertreten gewesen sei, nach Ablauf der mit Schreiben 28. Juni 2018 von der Vorinstanz gesetzten Frist keine Nachfrist angesetzt, sondern am 19. September 2018 direkt der Zwangsanschluss an die Auffangeinrichtung verfügt worden sei. Die Vorinstanz habe damit überspitzt formalistisch gehandelt. Darauf ist nachfolgend vorab einzugehen.</w:t>
      </w:r>
    </w:p>
    <w:p>
      <w:r>
        <w:rPr>
          <w:b/>
        </w:rPr>
        <w:t>E. 3.2</w:t>
      </w:r>
    </w:p>
    <w:p>
      <w:r>
        <w:t>Art. 29 Abs. 1 der Bundesverfassung der Schweizerischen Eidgenossenschaft vom 18. April 1999 (BV, SR 101) verbietet überspitzten Formalismus als besondere Form der Rechtsverweigerung. Ein solcher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jedoch gegeben, wenn die strikte Anwendung der Formvorschriften durch keine schutzwürdigen Interessen gerechtfertigt ist, zum blossen Selbstzweck wird und die Verwirklichung des materiellen Rechts in unhaltbarer Weise erschwert oder verhindert (BGE 142 IV 299 E. 1.3.2, 142 V 152 E. 4.2, 142 I 10 E. 2.4.2; Urteil des BVGer B-337/2019 vom 7. Mai 2019 E. 3.3).</w:t>
      </w:r>
    </w:p>
    <w:p>
      <w:r>
        <w:rPr>
          <w:b/>
        </w:rPr>
        <w:t>E. 3.3</w:t>
      </w:r>
    </w:p>
    <w:p>
      <w:r>
        <w:t>Die Vorinstanz teilte dem Beschwerdeführer in ihrem Schreiben vom 28. Juni 2018 mit, die AHV-Ausgleichskasse habe ihr eine Meldung gemacht, wonach die Einzelunternehmung keinen Nachweis erbracht habe, dass sie ab 1. August 2016 einer registrierten Einrichtung der beruflichen Vorsorge angeschlossen sei. Sie hat den Beschwerdeführer auch darüber informiert, dass die Vorsorgepflicht entfalle, wenn die Einzelunternehmung kein BVG-pflichtiges Personal beschäftige. Ferner hat sie mit zahlreichen Beispielen illustriert, wann die Vorsorgepflicht entfalle und den Beschwerdeführer aufgefordert, bis zum 6. September 2018 Dokumente einzureichen, die belegen, dass keine Beitragspflicht gegeben sei. Auch zu den möglichen Belegen hat sie zahlreiche Beispiele aufgeführt. Ferner hat sie den Beschwerdeführer darüber informiert, dass sie ohne Vorlage von Unterlagen gezwungen sei, die Einzelunternehmung gemäss Art. 60 Abs. 2 Bst. a BVG zwangsweise bei ihr anzuschliessen.</w:t>
      </w:r>
    </w:p>
    <w:p>
      <w:r>
        <w:rPr>
          <w:b/>
        </w:rPr>
        <w:t>E. 3.4</w:t>
      </w:r>
    </w:p>
    <w:p>
      <w:r>
        <w:t>Der Beschwerdeführer hat daraufhin mit der Vorinstanz am 2. Juli 2018 telefonisch Kontakt aufgenommen und mitgeteilt, die Einzelunternehmung habe keine Arbeitnehmer beschäftigt. Der angebliche Arbeitnehmer sei ein "Betrüger". Anlässlich dieses Gesprächs hat die Vorinstanz dem Beschwerdeführer unter anderem mitgeteilt, dass sie sich auf die ihr vorliegende AHV-Lohnbescheinigung stütze und er bei der Ausgleichskasse den Sachverhalt klären solle. Gemäss den Ausführungen der Vorinstanz in der entsprechenden Telefonnotiz vom 2. Juli 2018 sei der Beschwerdeführer jedoch nicht zu überzeugen gewesen, dass er etwas unternehmen müsse, und habe gemeint, dass er die Sache einem Anwalt übergeben werde. Auch habe er wissen lassen, dass bei ihm nichts zu holen sei. Anschliessend hat die Vorinstanz mit der Ausgleichskasse telefonisch Kontakt aufgenommen und erfahren, dass der Ausgleichskasse nichts bekannt sei, inbesondere sei bis dato keine Rückmeldung eingetroffen. Es seien die ordentlichen Buchungen aufgrund der Lohnbescheinigung erfolgt (vgl. Telefonnotiz der Vorinstanz vom 2. Juli 2018).</w:t>
      </w:r>
    </w:p>
    <w:p>
      <w:r>
        <w:rPr>
          <w:b/>
        </w:rPr>
        <w:t>E. 3.5</w:t>
      </w:r>
    </w:p>
    <w:p>
      <w:r>
        <w:t>Aus dem vorstehend Gesagten ergibt sich, dass die Vorinstanz den Beschwerdeführer sowohl schriftlich als auch mündlich ausführlich über die Sach- und Rechtslage informiert und insbesondere zur Einreichung von Dokumenten aufgefordert hat. Der Beschwerdeführer musste sich seiner Mitwirkungspflichten (E. 2.2) daher bewusst sein. Ebenso ergibt sich, dass die Vorinstanz im Anschluss an das Telefongespräch mit dem Beschwerdeführer zusätzlich mit der Ausgleichskasse telefonisch Kontakt aufgenommen hat. Da ihre telefonischen Abklärungen jedoch keinen Hinweis auf eine mögliche Rektifikation der Lohnbescheinigung oder eine andere Sachlage geliefert haben, ist es nicht zu beanstanden, wenn die Vorinstanz in der Folge bei der Ausgleichskasse keine weiteren Unterlagen eingefordert hat. Schliesslich ergibt sich, dass der Beschwerdeführer angekündigt hat, die Sache einem Rechtsanwalt übergeben zu wollen. Es ist daher auch nicht zu beanstanden, wenn die Vorinstanz bis zum Ablauf der eingeräumten Frist zugewartet und anschliessend gestützt auf die Akten einen Entscheid gefällt hat. Ein überspitzt formalistisches Verhalten ist nicht erkennbar.</w:t>
      </w:r>
    </w:p>
    <w:p>
      <w:r>
        <w:rPr>
          <w:b/>
        </w:rPr>
        <w:t>E. 3.6</w:t>
      </w:r>
    </w:p>
    <w:p>
      <w:r>
        <w:t>Im Sinne eines Zwischenergebnisses ist festzuhalten, dass die Vorinstanz, indem sie nach Ablauf der mit Schreiben vom 28. Juni 2018 angesetzten Frist, den Beschwerdeführer nicht nochmals zur Einreichung von Beweismitteln aufgefordert hat, weder die Verwirklichung des materiellen Rechts in unhaltbarer Weise erschwert noch verhindert und damit auch nicht gegen das Verbot des überspitzten Formalismus verstossen hat.</w:t>
      </w:r>
    </w:p>
    <w:p>
      <w:r>
        <w:rPr>
          <w:b/>
        </w:rPr>
        <w:t>E. 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Urteil des BVGer A-4980/2018 vom 20. Mai 2019 E. 2.1).</w:t>
      </w:r>
    </w:p>
    <w:p>
      <w:r>
        <w:rPr>
          <w:b/>
        </w:rPr>
        <w:t>E. 4.2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4.3</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der Verordnung vom 18. April 1984 über die berufliche Alters- und Hinterlassenen- und Invalidenvorsorge (BVV 2, SR 831.441.1) erzielen. Dieser Mindestlohn wurde bisher verschiedene Male der Entwicklung in der AHV angepasst (vgl. Art. 9 BVG) und beträgt im vorliegend relevanten Jahr 2016 CHF 21'150.- (vgl. Art. 2 Abs. 1, Art. 7 Abs. 1 und Art. 9 BVG i.V.m. Art. 5 BVV 2 in der in dieser Zeitspanne gültig gewesenen Fassung [AS 2014 3343]).</w:t>
      </w:r>
    </w:p>
    <w:p>
      <w:r>
        <w:rPr>
          <w:b/>
        </w:rPr>
        <w:t>E. 4.4</w:t>
      </w:r>
    </w:p>
    <w:p>
      <w:r>
        <w:t>Zur Ermittlung der Unterstellungspflicht nach Art. 7 Abs. 1 BVG wie auch zur Berechnung der Beiträge an die berufliche Vorsorge ist der mass-gebende Lohn nach dem Bundesgesetz vom 20. Dezember 1946 über die Alters- und Hinterlassenenversicherung (AHVG, SR 831.10) heranzuziehen (Art. 7 Abs. 2 BVG). Die Vorinstanz ist mit Bezug auf den massgeblichen Lohn gemäss AHVG an die Lohnbescheinigungen der Ausgleichskasse gebunden und hat darauf abzustellen (vgl. Urteil des BVGer A-4594/2017 vom 13. März 2018 E. 2.1.4). Massgebender Jahreslohn ist jener Lohn, den ein Arbeitnehmer bei ganzjähriger Beschäftigung erzielen würde (Art. 2 Abs. 2 BVG; Urteile des BVGer A-4980/2018 vom 20. Mai 2019 E. 2.4, A-3771/2017 vom 21. Februar 2018 E. 2.1.3).</w:t>
      </w:r>
    </w:p>
    <w:p>
      <w:r>
        <w:rPr>
          <w:b/>
        </w:rPr>
        <w:t>E. 4.5.1</w:t>
      </w:r>
    </w:p>
    <w:p>
      <w:r>
        <w:t>In der beruflichen Vorsorge sind die Begriffe Arbeitnehmer, Selbst-ständigerwerbender und Arbeitgeber im Sinne des AHV-Rechts zu verste-hen (Urteile des BVGer A-4026/20156 vom 7. März 2017 E. 4.5.1, C-979/2009 vom 22. März 2011 E. 2.3 m.Hw. auf EVG B 52/05 vom 9. Juni 2006 E. 3), ohne dass das Beitragsstatut formell verbindlich wäre (vgl. dazu BGE 115 Ib 37 E. 4; Urteil des BGer 9C_395/2009 vom 16. März 2010 E. 2.2).</w:t>
      </w:r>
    </w:p>
    <w:p>
      <w:r>
        <w:rPr>
          <w:b/>
        </w:rPr>
        <w:t>E. 4.5.2</w:t>
      </w:r>
    </w:p>
    <w:p>
      <w:r>
        <w:t>Als Arbeitnehmerinnen und Arbeitnehmer gelten Personen, die in unselbständiger Stellung Arbeit leisten und dafür massgebenden Lohn nach dem jeweiligen Einzelgesetz beziehen (Art. 1 AHVG i.V.m. Art. 10 des Bundesgesetzes vom 6. Oktober 2000 über den Allgemeinen Teil des Sozialversicherungsrechts [ATSG, SR 830.1]).</w:t>
      </w:r>
    </w:p>
    <w:p>
      <w:r>
        <w:rPr>
          <w:b/>
        </w:rPr>
        <w:t>E. 4.6.1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(Art. 11 Abs. 3 BVG).</w:t>
      </w:r>
    </w:p>
    <w:p>
      <w:r>
        <w:rPr>
          <w:b/>
        </w:rPr>
        <w:t>E. 4.6.2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4.6.3</w:t>
      </w:r>
    </w:p>
    <w:p>
      <w:r>
        <w:t>Die Auffangeinrichtung BVG ist eine Vorsorgeeinrichtung. Sie ist verpflichtet, Arbeitgeber, die ihrer Pflicht zum Anschluss an eine Vorsorgeeinrichtung nicht nachkommen, anzuschliessen (Art. 60 Abs. 1 und 2 Bst. a BVG).</w:t>
      </w:r>
    </w:p>
    <w:p>
      <w:r>
        <w:rPr>
          <w:b/>
        </w:rPr>
        <w:t>E. 4.6.4</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A-4980/2018 vom 20. Mai 2019 E. 2.5.3).</w:t>
      </w:r>
    </w:p>
    <w:p>
      <w:r>
        <w:rPr>
          <w:b/>
        </w:rPr>
        <w:t>E. 4.6.5</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in Verbindung mit Art. 2 Abs. 1 VOAA. Das Eidgenössische Versicherungsgericht hat denn auch in BGE 130 V 526 E. 4.3 festgehalten, dass es sich bei der Verfügung nach Art. 60 Abs. 2 Bst. a BVG um eine Gestaltungsverfügung handle, durch welche dem Arbeitgeber neue Pflichten auferlegt werden. Der Anschluss im Fall von Art. 60 Abs. 2 Bst d BVG hingegen erfolge aufgrund des Gesetzes und die entsprechende Verfügung der Vorinstanz habe deshalb bloss feststellenden Charakter (Urteile des BVGer A-4980/2018 vom 20. Mai 2019 E. 2.5.4, A-77/2018 vom 9. August 2018 E. 2.3.3).</w:t>
      </w:r>
    </w:p>
    <w:p>
      <w:r>
        <w:rPr>
          <w:b/>
        </w:rPr>
        <w:t>E. 4.7</w:t>
      </w:r>
    </w:p>
    <w:p>
      <w:r>
        <w:t>Gemäss Art. 11 Abs. 7 BVG stellt die Auffangeinrichtung BVG dem säu-migen Arbeitgeber den von ihm verursachten Verwaltungsaufwand in Rechnung. Dies wird auch in Art. 3 Abs. 4 VOAA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nach der Praxis der Auffangeinrichtung regelmässig (so auch im vorliegenden Fall) integrierter Bestandteil der Anschlussverfügung. Voraussetzung für die Rechtmässigkeit dieser Gebührenforderungen ist praxisgemäss, dass die damit abgegoltenen Verwaltungsmassnahmen effektiv und zu Recht erfolgt sind (vgl. dazu Urteile des BVGer A-4980/2018 vom 20. Mai 2019 E. 2.6, A-3771/2017 vom 21. Februar 2018 E. 2.3).</w:t>
      </w:r>
    </w:p>
    <w:p>
      <w:r>
        <w:rPr>
          <w:b/>
        </w:rPr>
        <w:t>E. 5.1</w:t>
      </w:r>
    </w:p>
    <w:p>
      <w:r>
        <w:t>Im vorliegenden Fall ist unbestritten, dass der Beschwerdeführer die Lohnbescheinigung 2016 vom 20. Februar 2017 unterzeichnet hat. Gemäss dieser Lohnbescheinigung hat der Beschwerdeführer in seiner Einzelunternehmung ab 1. August 2016 einen Arbeitnehmer namens C._______ beschäftigt und ihm in der Zeit vom 1. August 2016 bis 31. Dezember 2016 einen Lohn von Fr. 9'000.- entrichtet sowie Familienzulagen in der Höhe von Fr. 4'600.- geltend gemacht. Gemäss Schlussabrechnung der Ausgleichskasse vom 27. Februar 2017 für die Zeit vom 1. Mai bis 31. Dezember 2016 wurden von der Einzelunternehmung Lohnbeiträge und Verwaltungskosten in der Höhe von total Fr. 1'328.65 belastet und Kinderzulagen in der Höhe von Fr. 4'600.- gutgeschrieben, wobei Fr. 1'098.30 bereits ausgezahlt worden waren. Der resultierende Saldo von Fr. 2'173.05 wurde am 1. März 2017 dem Geschäftskonto der Einzelunternehmung bei der PostFinance gutgeschrieben.</w:t>
      </w:r>
    </w:p>
    <w:p>
      <w:r>
        <w:rPr>
          <w:b/>
        </w:rPr>
        <w:t>E. 5.2</w:t>
      </w:r>
    </w:p>
    <w:p>
      <w:r>
        <w:t>Der Beschwerdeführer bestreitet nunmehr die Qualifikation als Arbeitnehmer der in der Lohnbescheinigung 2016 vom 20. Februar 2017 als solchen genannten Person. Es habe kein Arbeitsvertrag mit dieser Person bestanden, vielmehr habe es sich um einen Geschäftspartner gehandelt, der sein Vertrauen ausgenutzt und ihn betrogen habe. Sinngemäss macht der Beschwerdeführer damit geltend, dass er getäuscht worden und die Lohnbescheinigung 2016 inhaltlich nicht korrekt sei. Er verweist in diesem Zusammenhang auf die Strafanzeige vom 24. Mai 2018 (Beschwerdebeilage 7).</w:t>
      </w:r>
    </w:p>
    <w:p>
      <w:r>
        <w:rPr>
          <w:b/>
        </w:rPr>
        <w:t>E. 5.3</w:t>
      </w:r>
    </w:p>
    <w:p>
      <w:r>
        <w:t>Die in der Lohnbescheinigung 2016 vom 20. Februar 2017 aufgeführten Angaben zur Arbeitnehmereigenschaft sind eindeutig und klar. Die Auffangeinrichtung ist daher grundsätzlich an die Angaben in der Lohnbescheinigung gebunden (vgl. E. 4.5.1). Der Beschwerdeführer hat mit Schreiben vom 10. Oktober 2018 an die Ausgleichskasse die Angaben auf der Lohnbescheinigung 2016 bzw. seine Unterschrift widerrufen. Am 4. Februar 2019 gelangte er erneut an die Ausgleichskasse und beantragte gestützt auf das Einvernahmeprotokoll vom 14. Januar 2019 sowie gestützt auf einen Auszug aus dem Einvernahmeprotokoll von C._______ vom 3. Juli 2018 die Lohnbescheinigung 2016 zu rektifizieren. Am 8. April 2019 und am 22. Mai 2019 gelangte der Beschwerdeführer nochmals an die Ausgleichskasse. Die Ausgleichskasse hat sich sodann mit Schreiben vom 11. November 2018 und vom 8. Februar 2019 an den Beschwerdeführer, sowie mit Schreiben vom 10. April 2019 und vom 22. Juli 2019 an das Bundesverwaltungsgericht dahingehend geäussert, dass keine ausreichenden Gründe vorliegen würden, um das mehrfach unterschriftlich bestätigte Arbeitsverhältnis in Frage zu stellen, weshalb sie formlos von einer Wiederwägung abgesehen habe. Damit ist die Lohnbescheinigung 2016 vom 20. Februar 2017 nicht rektifiziert worden. Infolgedessen ist davon auszugehen, dass C._______ AHV-rechtlich als Arbeitnehmer der Einzelunternehmung und für die hier ausgeübte Tätigkeit als unselbständig erwerbstätig zu betrachten ist.</w:t>
      </w:r>
    </w:p>
    <w:p>
      <w:r>
        <w:rPr>
          <w:b/>
        </w:rPr>
        <w:t>E. 5.4</w:t>
      </w:r>
    </w:p>
    <w:p>
      <w:r>
        <w:t>Was der Beschwerdeführer gegen die Verbindlichkeit der Lohnbescheinigung 2016 und damit gegen das Beitragsstatut der darin als Arbeitnehmer bezeichneten Person vorbringt, ist jedenfalls nicht geeignet, um im hier zu beurteilenden Fall von der AHV-rechtlichen Qualifikation abzuweichen (vgl. E. 4.5.1). Der Eintrittsmeldung vom 20. Juli 2016 und dem Gesuch um Ausrichtung von Kinderzulagen vom gleichen Tag ist zu entnehmen, dass zwischen der Einzelunternehmung und C._______ per 1. August 2016 ein Arbeitsverhältnis begründet werden soll. Die darin enthaltenen Angaben sind jedoch auf die Zukunft gerichtet und können nicht für sich alleine betrachtet werden. Sie werden aber durch die Schlussabrechnung vom 27. Februar 2017 und die damit entrichteten Beiträge bzw. den unwidersprochenen Bezug von Kinderzulagen für den Arbeitnehmer bestätigt. Anlässlich der Einvernahme vor der Strafbehörde am 14. Januar 2019 wurde dem Beschwerdeführer zwar ein nicht unterzeichneter Arbeitsvertrag vom 22. Juli 2016 zwischen der Einzelunternehmung und C._______ vorgehalten. Dass dieser Vertrag nicht unterzeichnet worden ist, belegt jedoch nicht, dass kein Arbeitsverhältnis bestanden hat, kann doch ein solches auch anderweitig begründet werden, zumal die Angaben in der erst später ausgestellten Lohnbescheinigung ein solches voraussetzen (vgl. auch Art. 320 Abs. 2 des Bundesgesetzes vom 30. März 1911 betreffend die Ergänzung des Schweizerischen Zivilgesetzbuches [Fünfter Teil: Obligationenrecht, OR, SR 220]). Aus der Lohnbescheinigung 2016 vom 20. Februar 2017 ergibt sich sodann, dass dem in der Eintrittsmeldung vom 20. Juli 2016 vorgesehenen Bruttolohn von Fr. 4'000.- offenbar nicht nachgelebt worden ist. Dennoch ist ein Lohn - wenn auch ein wesentlich tieferer - ausgewiesen und damit ein Arbeitsverhältnis unter den Parteien vorausgesetzt worden. Der Beschwerdeführer führt sodann unter Hinweis auf die lückenlosen Bankauszüge seiner Geschäftskonti bei der PostFinance und der Migrosbank aus, es bestehe kein Arbeitsverhältnis, denn entgegen den Angaben in der Lohnbescheinigung 2016 sei gar kein Lohn ausbezahlt worden. Den vorerwähnten Bankauszügen lassen sich - soweit ersichtlich - keine als Lohnzahlungen an den erwähnten Arbeitnehmer bezeichneten Auszahlungen entnehmen. Indessen sind mehrere grössere Barbezüge und auch Sammelbuchungen ersichtlich, sodass Lohnzahlungen oder auf ein Lohnbetreffnis anzurechnende Akontobezüge durchaus im Bereich des Möglichen liegen. Der Beschwerdeführer räumt denn auch ein, dass er in administrativen Belangen unerfahren gewesen sei und die Administration sowie damit einhergehende weitere Geschäftsführungsaufgaben nicht selber besorgt, sondern sich auf die Auslieferung der Möbel beschränkt habe. Demzufolge ist es überwiegend wahrscheinlich, dass C._______ im fraglichen Zeitraum die Geschäftsführung für die Einzelunternehmung besorgt hat. Im aktenkundigen Auszug aus dem Protokoll der Einvernahme vom 3. Juli 2018 bestätigt der Beschuldigte C._______, dass er bis Ende Dezember 2017 bei der B._______ (ergänzt durch das Bundesverwaltungsgericht), gearbeitet habe. Eine Tätigkeit von C._______ für die B._______ ist damit zumindest für das Jahr 2017 erstellt. Dies steht im Einklang mit der Lohnbescheinigung 2017 vom 11. Juni 2018, wonach der Beschwerdeführer in seiner Einzelunternehmung im Jahre 2017 keine Arbeitnehmer mehr beschäftigt hat. Dass C._______ bereits im Jahre 2016 für die B._______ tätig gewesen ist, ergibt sich jedoch nicht aus dem Protokollauszug. Vielmehr ist im ebenfalls aktenkundigen Kaufvertrag vom 29. August 2016 - anders als im Kaufvertrag vom 18. Februar 2017 - eine Person namens E._______ - als Wohnberater aufgeführt. Auch in dem im Einvernahmeprotokoll des Beschwerdeführers vom 14. Januar 2019 erwähnten Kaufvertrag vom 10. Oktober 2016 soll ein Herr (...) als Wohnberater eingetragen worden sein. Zu einem weiteren Kaufvertrag vom 9. August 2016 wurde im Protokoll lediglich festgehalten, dass dieser Vertrag auf die (Bezeichnung der zwei Unternehmungen) laute. Damit steht zwar fest, dass die beiden Unternehmungen bereits im Jahre 2016 zusammengearbeitet haben und dass C._______ zumindest im Jahre 2017 für die B._______ gearbeitet hat, indessen fehlt es an Anhaltspunkten dafür, dass C._______ bereits im Jahre 2016 für die B._______ tätig gewesen ist oder dass eine solche Tätigkeit im Jahr 2016 - allenfalls gar im Rahmen einer selbständigen Erwerbstätigkeit - neben der Geschäftsführung für die Einzelunternehmung erfolgt wäre. Der aktenkundigen Strafanzeige vom 24. Mai 2018 und dem Einvernahmeprotokoll vom 14. Januar 2019 ist sodann zu entnehmen, dass der Tatvorwurf in erster Linie dahingeht, dass Kunden bei der (Bezeichnung der beiden Unternehmungen) diverse Möbel bestellt und diese auch im Voraus bezahlt hätten, die bestellten und bezahlten Möbel in der Folge aber nicht geliefert worden seien. Die vorliegend strittige Lohnbescheinigung 2016 war - soweit ersichtlich - nicht Gegenstand der strafrechtlichen Untersuchung, weshalb der weitere Fortgang des Strafverfahrens für das vorliegende Verfahren kaum neue Erkenntnisse bringen dürfte. Im Sinne eines Zwischenergebnisses ist somit festzuhalten, dass für das Bundesverwaltungsgericht - anders als in seinem Urteil A-4026/2016 vom 7. März 2017 - keine Veranlassung besteht, um von der AHV-rechtlichen Qualifikation gemäss Lohnbescheinigung 2016 vom 20. Februar 2017 abzuweichen.</w:t>
      </w:r>
    </w:p>
    <w:p>
      <w:r>
        <w:rPr>
          <w:b/>
        </w:rPr>
        <w:t>E. 5.5</w:t>
      </w:r>
    </w:p>
    <w:p>
      <w:r>
        <w:t>Bei unterjähriger Beschäftigung ist der Lohn auf ein Jahresgehalt umzurechnen (E. 4.3). Im vorliegenden Fall ist die Versicherungspflicht für den genannten Arbeitnehmer gestützt auf dessen Alter wie auch das auf gegenüber der Ausgleichskasse gemeldete Gehalt, welche auf ein Jahr umzurechnen ist, grundsätzlich gegeben.</w:t>
      </w:r>
    </w:p>
    <w:p>
      <w:r>
        <w:rPr>
          <w:b/>
        </w:rPr>
        <w:t>E. 5.6</w:t>
      </w:r>
    </w:p>
    <w:p>
      <w:r>
        <w:t>Unbestrittenermassen hat der Beschwerdeführer sein Personal bei keiner Vorsorgeeinrichtung versichert. Gemäss Lohnbescheinigung 2017 beschäftigte der Beschwerdeführer im 2017 keine Arbeitnehmer mehr. Damit ist die Vorinstanz unter den gegebenen Umständen zu Recht davon ausgegangen, dass die zu versichernde Person einen Anspruch auf Freizügigkeitsleistung zu einem Zeitpunkt erworben hat, in welchem sich der Beschwerdeführer noch keiner Vorsorgeeinrichtung angeschlossen hat. Demnach hat die Vorinstanz in der angefochtenen Verfügung vom 19. September 2018 ebenfalls zurecht festgestellt, dass der Beschwerdeführer seit 1. August 2016 bei ihr zwangsweise angeschlossen ist, womit sich auch die dem Beschwerdeführer mit dem Zwangsanschluss auferlegten Kosten als rechtens erweisen.</w:t>
      </w:r>
    </w:p>
    <w:p>
      <w:r>
        <w:rPr>
          <w:b/>
        </w:rPr>
        <w:t>E. 5.7</w:t>
      </w:r>
    </w:p>
    <w:p>
      <w:r>
        <w:t>Zusammenfassend ergibt sich, dass die Beschwerde abzuweisen ist, soweit darauf einzutreten ist.</w:t>
      </w:r>
    </w:p>
    <w:p>
      <w:r>
        <w:rPr>
          <w:b/>
        </w:rPr>
        <w:t>E. 6.1</w:t>
      </w:r>
    </w:p>
    <w:p>
      <w:r>
        <w:t>Ausgangsgemäss hätte der Beschwerdeführer die Kosten für das Be-schwerdeverfahren vor dem Bundesverwaltungsgericht zu tragen (Art. 63 Abs. 1 VwVG). Da ihm jedoch mit Zwischenverfügung vom 30. Oktober 2018 die unentgeltliche Prozessführung im Sinne von Art. 65 VwVG ge-währt worden ist (Sachverhalt F.b), sind vorliegend keine Verfahrenskosten zu erheben.</w:t>
      </w:r>
    </w:p>
    <w:p>
      <w:r>
        <w:rPr>
          <w:b/>
        </w:rPr>
        <w:t>E. 6.2</w:t>
      </w:r>
    </w:p>
    <w:p>
      <w:r>
        <w:t>Der unterliegende Beschwerdeführer hat keinen Anspruch auf Parteientschädigung (Art. 64 Abs. 1 VwVG und Art. 7 Abs. 1 des Reglements vom 21. Februar 2008 über die Kosten und Entschädigungen vor dem Bundesverwaltungsgericht [VGKE, SR 173.320.2] je e contrario).</w:t>
      </w:r>
    </w:p>
    <w:p>
      <w:r>
        <w:rPr>
          <w:b/>
        </w:rPr>
        <w:t>E. 6.3</w:t>
      </w:r>
    </w:p>
    <w:p>
      <w:r>
        <w:t>Rechtsanwalt Mario Stegmann, der mit Zwischenverfügung vom 30. Oktober 2018 als unentgeltlicher Rechtsbeistand des Beschwerdeführers eingesetzt wurde, ist aus der Gerichtskasse eine Entschädigung aus unentgeltlicher Rechtspflege auszurichten (vgl. Urteile des BVGer A-6686/2018 vom 30. August 2019 E. 6.2, A-1131/2017 11. Januar 2018 E. 10.2, A-3121/2017 vom 1. September 2017 E. 5.3, A-6903/2015 vom 25. April 2016 E. 10). Da der als unentgeltlicher Rechtsbeistand bestellte Rechtsvertreter des Beschwerdeführers keine Kostennote eingereicht hat, ist die Entschädigung aufgrund der Akten festzusetzen (Art. 14 Abs. 2 VGKE). Unter Berücksichtigung der gesamten Umstände des vorliegenden Falles, insbesondere der Bemühungen bei der Beweiserbringung, ist die dem Rechtsvertreter auszurichtende Entschädigung ermessensweise auf Fr. 1'600.- (inkl. Auslagen) festzusetzen.</w:t>
      </w:r>
    </w:p>
    <w:p>
      <w:r>
        <w:rPr>
          <w:b/>
        </w:rPr>
        <w:t>E. 6.4</w:t>
      </w:r>
    </w:p>
    <w:p>
      <w:r>
        <w:t>Der Beschwerdeführer wird im Übrigen darauf hingewiesen, dass er nach Art. 65 Abs. 4 VwVG, sollte er als bedürftige Partei später zu hinreichenden Mitteln gelangen, der Gerichtskasse für die erwähnte Entschädigung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