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A-5947/2022 vom 18. November 2024</w:t>
      </w:r>
    </w:p>
    <w:p>
      <w:r>
        <w:t>Bundesverwaltungsgericht, 2024-11-18, DE</w:t>
      </w:r>
    </w:p>
    <w:p>
      <w:r>
        <w:rPr>
          <w:b/>
        </w:rPr>
        <w:t xml:space="preserve">Quelle: </w:t>
      </w:r>
      <w:r>
        <w:t>https://mcp.opencaselaw.ch/entscheid/bvger_A-5947_2022</w:t>
      </w:r>
    </w:p>
    <w:p>
      <w:r>
        <w:t>FR: TAF A-5947/2022 du 18 novembre 2024</w:t>
      </w:r>
    </w:p>
    <w:p>
      <w:r>
        <w:t>IT: TAF A-5947/2022 del 18 novembre 2024</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StAhiG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gehören auch die Schlussverfügungen im Bereich der internationalen Amtshilfe in Steuersachen (Art. 32 VGG e contrario und Art. 19 Abs. 1 und 5 StAhiG), womit das Bundesverwaltungsgericht für die Beurteilung der vorliegenden Sache zuständig ist.</w:t>
      </w:r>
    </w:p>
    <w:p>
      <w:r>
        <w:rPr>
          <w:b/>
        </w:rPr>
        <w:t>E. 1.3</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1.3.1</w:t>
      </w:r>
    </w:p>
    <w:p>
      <w:r>
        <w:t>Der Beschwerdeführer hat am vorinstanzlichen Verfahren teilgenommen und ist als Adressat der angefochtenen Schlussverfügung und als vom Amtshilfeersuchen direkt betroffene Person zur Beschwerdeführung legitimiert (vgl. Art. 48 Abs. 1 VwVG und Art. 19 Abs. 2 StAhiG). Zudem hat er seine Beschwerde form- und fristgerecht eingereicht (vgl. Art. 50 Abs. 1 und Art. 52 Abs. 1 VwVG i.V.m. Art. 19 Abs. 5 StAhiG). Somit ist auf die Beschwerde einzutreten, insoweit der Beschwerdeführer damit eigene Interessen geltend macht.</w:t>
      </w:r>
    </w:p>
    <w:p>
      <w:r>
        <w:rPr>
          <w:b/>
        </w:rPr>
        <w:t>E. 1.3.2</w:t>
      </w:r>
    </w:p>
    <w:p>
      <w:r>
        <w:t>Hingegen ist fraglich, ob der Beschwerdeführer bzw. dessen Rechtsvertretung im vorliegenden Verfahren (auch) Interessen von Dritten geltend machen kann.</w:t>
      </w:r>
    </w:p>
    <w:p>
      <w:r>
        <w:rPr>
          <w:b/>
        </w:rPr>
        <w:t>E. 1.3.3</w:t>
      </w:r>
    </w:p>
    <w:p>
      <w:r>
        <w:t>Die Vorinstanz weist zurecht darauf hin, dass der Beschwerdeführer in seiner Beschwerde teilweise Drittinteressen geltend macht. Der Beschwerdeführer bringt vor, dass die von ihm erwähnten Drittpersonen keine Möglichkeit gehabt hätten, am vorinstanzlichen Verfahren teilzunehmen, da sie entweder gar nicht beschwerdeberechtigt oder zu Unrecht nicht über das Amtshilfeverfahren in Kenntnis gesetzt worden seien. Sodann führt er zusammengefasst aus, dass die Bekanntgabe von Informationen über Dritte - namentlich über RA M._______ - für diese eine Gefahr darstelle, aus einem Verfahren, das sie offensichtlich nicht betreffe, unverhältnismässig grossen Schaden zu erleiden, namentlich in Form von Reputationsschäden, Strafverfolgung, Veröffentlichung von Namen und Schädigung der Wettbewerbsfähigkeit. Insbesondere da das Datenschutzrecht in den USA bekanntermassen keinen hinreichenden Schutz gewährleiste, bestehe hierfür ein erhebliches Risiko, sobald der IRS im Besitz irgendwelcher Angaben über Dritte sei. Jede Person, der eine Strafverfolgung drohe, könne aber eine Weiterleitung der sie betreffenden Daten untersagen. Dies gehe aus dem Grundsatz, dass kein Beschuldigter zu seiner eigenen Verurteilung beitragen müsse, hervor.</w:t>
      </w:r>
    </w:p>
    <w:p>
      <w:r>
        <w:rPr>
          <w:b/>
        </w:rPr>
        <w:t>E. 1.3.4</w:t>
      </w:r>
    </w:p>
    <w:p>
      <w:r>
        <w:t>Grundsätzlich ist auf Rechtsmittel, die stellvertretend für Dritte bzw. in deren Interessen erhoben werden, nicht einzutreten (vgl. BGE 139 II 404 E. 11.1 und 137 IV 134 E. 5.2.2; Urteil des BVGer A-6928/2019 vom 13. Dezember 2021 E. 1.4.3 m.w.H.). Dies gilt auch für den vorliegenden Fall, insoweit der Beschwerdeführer mit seinen Vorbringen Interessen von Dritten geltend macht. Daran ändert auch die von ihm bzw. von seiner Rechtsvertretung «nachgereichte», von RA M._______ unterzeichnete Vollmacht nichts. Der Beschwerdeführer kann nicht im Laufe des ihn betreffenden Beschwerdeverfahrens auch noch Vertreter anderer Parteien werden und deren Interessen im ihn betreffenden Verfahren geltend machen. So ist insbesondere der Einwand des Beschwerdeführers, andere Personen seien von der Vorinstanz zu Unrecht nicht über die beabsichtigte Informationsübermittlung informiert worden, unzulässig.</w:t>
      </w:r>
    </w:p>
    <w:p>
      <w:r>
        <w:rPr>
          <w:b/>
        </w:rPr>
        <w:t>E. 1.3.5</w:t>
      </w:r>
    </w:p>
    <w:p>
      <w:r>
        <w:t>Im Übrigen machen die Rechtsvertreter des Beschwerdeführers nicht geltend, dass sie - unabhängig vom Beschwerdeführer - auch im Namen von RA M._______ Beschwerde gegen die Schlussverfügung vom 24. November 2022 führen wollen. Sodann wäre eine separate Beschwerde von RA M._______ als verspätet zu betrachten und wäre deshalb darauf nicht einzutreten. Denn RA M._______ hatte [...] bereits im vorinstanzlichen Verfahren Kenntnis von der beabsichtigten Informationsübermittlung [...] (vgl. Schlussverfügung, S. 5). Der Vollständigkeit halber sei an dieser Stelle darauf hingewiesen, dass RA M._______ und allfällige weitere Drittpersonen rechtsprechungsgemäss ohnehin bereits durch das Spezialitätsprinzip (vgl. hierzu E. 3.6) hinreichend geschützt sind und die Vorinstanz die Erteilung der Amtshilfe mit der Auflage versehen hat, die übermittelten Unterlagen dürften nur in Verfahren verwendet werden, die den Beschwerdeführer betreffen (vgl. Sachverhalt Bst. B.f in fine). Im Übrigen steht es diesen Personen frei, ihre Einwendungen gegen die Übermittlung ihrer Daten an die USA im Rahmen eines (separaten) Datenschutzverfahrens geltend zu machen (vgl. hierzu BGE146 I 172 E. 7.2; Urteil des BGer 2C_545/2019 vom 13. Juli 2020 E. 4.5 f. mit Hinweis auf das Urteil des Europäischen Gerichtshofs für Menschenrechte [EGMR] i.S. M.N. gegen San Marino vom 7. Juli 2015, Nr. 28005/12, Ziff. 78 ff.; Urteile des BVGer A-5714/2022 vom 30. Juni 2023 E. 3.4.3; A-3972/2019 vom 22. März 2021 E. 4.2.2). Zudem können sich Dritte auch nach der Übermittlung der sie betreffenden Informationen an den ersuchenden Staat insofern zur Wehr setzen, als sie im ersuchten Staat (vorliegend der Schweiz) beantragen können, dass eine nachträgliche Zustimmung zur abkommensfremden Verwendung der Information (Art. 20 Abs. 3 StAhiG) nicht erteilt wird (vgl. Urteil des BGer 2C_687/2019 13. Juli 2020 E. 6.3.3; Urteil des BVGer A-5714 vom 30. Juni 2023 E. 3.4.3). Schliesslich können sich Personen, die in den USA allenfalls angeklagt werden, gemäss Rechtsprechung des Bundesgerichts im entsprechenden Strafverfahren in den USA nach Massgabe des amerikanischen Rechts verteidigen und u.a. geltend machen, die amtshilfeweise Übermittlung der ersuchten Informationen sei im Lichte dieser strafrechtlichen Verfahrensgarantien rechtswidrig gewesen (vgl. hierzu E. 3.3.2).</w:t>
      </w:r>
    </w:p>
    <w:p>
      <w:r>
        <w:rPr>
          <w:b/>
        </w:rPr>
        <w:t>E. 1.3.6</w:t>
      </w:r>
    </w:p>
    <w:p>
      <w:r>
        <w:t>Somit sind insbesondere die Vorbringen des Beschwerdeführers im Zusammenhang mit dem Datenschutzrecht und den strafprozessualen Garantien in vorliegendem Verfahren nicht zu hören, insoweit sie Dritte betreffen. Vorbehalten bleibt die Überprüfung der Informationen zu RA M._______ sowie zu den übrigen Drittpersonen immerhin unter dem Gesichtspunkt der voraussichtlichen Erheblichkeit (vgl. dazu E. 4.4; vgl. zum Ganzen: Urteil des BVGer A-2453/2021 vom 3. Mai 2023 E. 1.3.2).</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es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w:t>
      </w:r>
    </w:p>
    <w:p>
      <w:r>
        <w:rPr>
          <w:b/>
        </w:rPr>
        <w:t>E. 2.1.3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2.2</w:t>
      </w:r>
    </w:p>
    <w:p>
      <w:r>
        <w:t>Der Beschwerdeführer rügt konkret, die Vorinstanz habe sich mit den Argumenten in seiner Stellungnahme vom 8. Juli 2022 nicht hinreichend auseinandergesetzt. Weder im Schreiben vom 26. Juli 2022 noch in der angefochtenen Schlussverfügung habe sie sich mit seiner Begründung des Antrags auf Schwärzung von Informationen, die vom Amtshilfeverfahren nicht betroffene Drittpersonen betreffen, befasst, sondern diesbezüglich lediglich pauschal generelle Argumente aufgezählt. Zu seinen datenschutzrechtlichen Vorbringen habe sich die Vorinstanz überhaupt nicht geäussert. Damit habe sie gegen die Begründungspflicht verstossen und seinen Anspruch auf rechtliches Gehör verletzt.</w:t>
      </w:r>
    </w:p>
    <w:p>
      <w:r>
        <w:rPr>
          <w:b/>
        </w:rPr>
        <w:t>E. 2.3</w:t>
      </w:r>
    </w:p>
    <w:p>
      <w:r>
        <w:t>Die Begründungen der Vorinstanz im Rahmen der Korrespondenz im vorinstanzlichen Verfahren und in der angefochtenen Schlussverfügung sind tatsächlich äusserst knapp. In Letzterer erläutert sie lediglich auf einer viertel Seite, inwiefern sich aus ihrer Sicht sämtliche ersuchten Informationen für die Festsetzung der Einkommenssteuer der betroffenen Person im ersuchenden Staat als notwendig erweisen können. Allerdings verweist die Vorinstanz auf die ausführlichen Ausführungen im Amtshilfeersuchen sowie auf die einschlägige und auf den vorliegenden Fall anwendbare Rechtsprechung. Insofern war für den Beschwerdeführer erkennbar, von welchen Überlegungen sich die Vorinstanz hat leiten lassen und weshalb sie die zur Übermittlung vorgesehenen Informationen allesamt als voraussichtlich erheblich erachtet. Mit den übrigen Argumenten des Beschwerdeführers, die nicht die voraussichtliche Erheblichkeit der Informationen betreffen, setzt sich die Vorinstanz aber grundsätzlich nicht auseinander. Darin ist eine Verletzung der Begründungspflicht zu erkennen. Diese erweist sich im vorliegenden Fall allerdings als nicht schwerwiegend, respektive geringfügig, da die übrigen Vorbringen des Beschwerdeführers hauptsächlich Drittinteressen betrafen. Schliesslich hat die Vorinstanz ihre Begründung im Rahmen der Vernehmlassung und der Duplik hinreichend konkretisiert und der Beschwerdeführer konnte dazu vor dem Bundesverwaltungsgericht - welches über volle Kognition verfügt (vgl. E. 1.4) - Stellung nehmen. Rechtsprechungsgemäss gilt die geringfügige Verletzung der Begründungspflicht somit als durch die nachträgliche Gewährung des rechtlichen Gehörs geheilt (vgl. E. 2.1.2). Die festgestellte Gehörsverletzung führt jedoch zu Kosten- und Entschädigungsfolgen (vgl. E. 6).</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w:t>
      </w:r>
    </w:p>
    <w:p>
      <w:r>
        <w:rPr>
          <w:b/>
        </w:rPr>
        <w:t>E. 3.2.3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w:t>
      </w:r>
    </w:p>
    <w:p>
      <w:r>
        <w:rPr>
          <w:b/>
        </w:rPr>
        <w:t>E. 3.2.4</w:t>
      </w:r>
    </w:p>
    <w:p>
      <w:r>
        <w:t>Als «fishing expeditions» werden Amtshilfeersuchen bezeichnet, wenn sie zur Beschaffung von Beweismitteln aufs Geratewohl und ohne konkreten Zusammenhang zu laufenden Steuerverfahren gestellt werden (BGE 146 II 150 E. 6.1.2; 141 II 436 E. 4.4.3). Es entspricht geltender Rechtsprechung, dass insbesondere die Erfragung weiterer Konten bei derselben Bank mittels eines neuen Amtshilfeersuchens nicht als «fishing expedition» gewertet wird (vgl. statt vieler: Urteil des BVGer A-7622/2016 vom 23. Mai 2017 E. 2.5; E. 3.3).</w:t>
      </w:r>
    </w:p>
    <w:p>
      <w:r>
        <w:rPr>
          <w:b/>
        </w:rPr>
        <w:t>E. 3.2.5</w:t>
      </w:r>
    </w:p>
    <w:p>
      <w:r>
        <w:t>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3.2.6</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Vor diesem Hintergrund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A-5067/2021 vom 14. September 2023 E. 2.3.4 m.w.H.).</w:t>
      </w:r>
    </w:p>
    <w:p>
      <w:r>
        <w:rPr>
          <w:b/>
        </w:rPr>
        <w:t>E. 3.2.7</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(sog. «betroffene Personen», vgl. E. 1.3.5.2; vgl. Urteil des BVGer A-3365/2022 vom 5. Januar 2024 E. 2.5.1). 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In gewissen Konstellationen ist es jedoch unumgänglich, auch über Personen Informationen zu erteilen, deren Steuerpflicht im ersuchenden Staat nicht geltend gemacht wird (statt vieler: Urteil des BVGer A-4228/2018 vom 26. August 2019 E. 2.6.3). Betreffen diese Informationen Dritte im Sinne von Art. 4 Abs. 3 StAhiG, so sind sie dem ersuchenden Staat dann zu übermitteln, wenn die ersuchten Informationen für die Steuerpflicht der im ersuchenden Staat zu besteuernden Person voraussichtlich erheblich sind und ihre Übermittlung unter Verhältnismässigkeitsgesichtspunkten erforderlich ist, d.h. wenn die Aussonderung, Schwärzung oder anderweitige Unkenntlichmachung der Informationen den Zweck des Amtshilfeersuchens vereiteln würde.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w:t>
      </w:r>
    </w:p>
    <w:p>
      <w:r>
        <w:rPr>
          <w:b/>
        </w:rPr>
        <w:t>E. 3.2.8</w:t>
      </w:r>
    </w:p>
    <w:p>
      <w:r>
        <w:t>Informationen zu im Sinne von Art. 4 Abs. 3 StAhiG nicht vom Amtshilfeersuchen betroffenen Personen dürfen demnach nur übermittelt werden, wenn sie voraussichtlich erheblich, sprich relevant für das verfolgte, fiskalische Ziel sind und ihre Übermittlung damit verhältnismässig ist, sodass eine Schwärzung das Amtshilfegesuch sinnlos machen würde (BGE 144 II 29 E. 4.2.3; 143 II 506 E. 5.2.1, jeweils mit Hinweisen). Ein Zusammenhang der Information mit der in Frage stehenden Steuerangelegenheit muss dabei zumindest als wahrscheinlich erscheinen (BGE 141 II 436 E. 4.6). Demzufolge darf der Name einer nicht betroffenen Person bzw. Drittperson nur dann übermittelt werden, wenn er geeignet ist, die Steuersituation des betroffenen Steuerpflichtigen zu erhellen (BGE 144 II 29 E. 4.2.3). In diesem Zusammenhang hat das Bundesgericht in verschiedenen Konstellationen insbesondere die Namen von an Banktransaktionen beteiligten Dritten, von zeichnungsberechtigten Drittpersonen und wirtschaftlich Berechtigten, von Bevollmächtigten sowie von Mitarbeitenden von mit der steuerpflichtigen Person verbundenen Gesellschaften als voraussichtlich erheblich qualifiziert und daher deren Übermittlung zugelassen (vgl. BGE 148 II 349 E. 5.2, m.w.H; Urteil des BGer 2C_545/2019 vom 13. Juli 2020 E. 4.3). Voraussichtlich erheblich sind insbesondere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A-232/2022 vom 16. Februar 2023 E. 3.2.2.2 ff.; A-3365/2022 vom 5. Januar 2024 E. 2.3.4 m.w.H.).</w:t>
      </w:r>
    </w:p>
    <w:p>
      <w:r>
        <w:rPr>
          <w:b/>
        </w:rPr>
        <w:t>E. 3.2.9</w:t>
      </w:r>
    </w:p>
    <w:p>
      <w:r>
        <w:t>Sollen Informationen über Dritte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(vgl. Urteile des BVGer A-2453/2021 vom 3. Mai 2023 E. 2.8.8.2; A-1348/2019 vom 3. März 2020 E. 4.2.5).</w:t>
      </w:r>
    </w:p>
    <w:p>
      <w:r>
        <w:rPr>
          <w:b/>
        </w:rPr>
        <w:t>E. 3.2.10</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3.3.1</w:t>
      </w:r>
    </w:p>
    <w:p>
      <w:r>
        <w:t>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BGer 2C_918/2020 vom 28. Dezember 2021 E. 4.3 m.w.H; Urteil des BVGer A-232/2022 vom 16. Februar 2023 E. 2.3.4.2 m.w.H.).</w:t>
      </w:r>
    </w:p>
    <w:p>
      <w:r>
        <w:rPr>
          <w:b/>
        </w:rPr>
        <w:t>E. 3.3.2</w:t>
      </w:r>
    </w:p>
    <w:p>
      <w:r>
        <w:t>Gleiches gilt für die Geltendmachung strafprozessualer Garantien. Diese sind gemäss bundesgerichtlicher Rechtsprechung auf das Verfahren der internationalen Amtshilfe in Steuersachen nicht anwendbar, weil es sich beim Amtshilfeverfahren um ein Verwaltungsverfahren besonderer Art handelt. Die vom ersuchten Staat durchgeführte Prüfung beinhaltet keine Untersuchung der Schuld oder Unschuld der betroffenen Person, sondern erfasst nur die Prüfung der Einhaltung der formellen Bedingungen der Amtshilfe. Zudem bezieht sich das Amtshilfeverfahren auf die Übermittlung von Informationen und Unterlagen, welche sich in der Verfügungsgewalt von Dritten befinden, ohne dass die von den Unterlagen betroffenen Personen selber Informationen oder Unterlagen liefern müssten, welche sie belasten könnten; weitere Mitwirkungspflichten bestehen im Grundsatz ebenfalls nicht. Personen, die in den USA allenfalls angeklagt werden, können sich in einem allfälligen Strafverfahren in den USA nach Massgabe des amerikanischen Rechts verteidigen und u.a. geltend machen, dass Amtshilfeersuchen des IRS bzw. die Informationsübermittlung durch die ESTV seien im Lichte der strafrechtlichen Verfahrensgarantien - namentlich des Verbots des Selbstbelastungszwangs - rechtswidrig gewesen (vgl. zum Ganzen: BGE 139 II 494 E. 6).</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kann das Vorliegen einer sog. «fishing expedition» (vgl. hierzu E. 3.2.3) grundsätzlich verneint werden (vgl. Urteil des BGer 2C_953/2020 vom 24. November 2021 E. 3.3; Urteile des BVGer A-4830/2021 vom 23. Oktober 2023 E. 2.2.2; A-5281/2021 vom 2. Mai 2022 E. 6.1).</w:t>
      </w:r>
    </w:p>
    <w:p>
      <w:r>
        <w:rPr>
          <w:b/>
        </w:rPr>
        <w:t>E. 3.5.1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 Folglich ist die Wahrung des besagten Grundsatzes erst bei konkreten Anhaltspunkten auf eine zweckwidrige Verwendung im ersuchenden Staat zu überprüfen (BGE 128 II 407 E. 3.2; Urteil des BGer 2C_653/2018 vom 26. Juli 2019 E. 7.3; BVGE 2018 III/1 E. 2.9.1; Urteile des BVGer A-769/2017 vom 23. April 2019 E. 2.4.1 sowie A-3716/2015 vom 16. Februar 2016 E. 3.5). 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3.5.2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Zudem dürfen die Informationen nur gegenüber derjenigen Person verwendet werden, gegen welche sich das Amtshilfeersuchen ausdrücklich richtet (BGE 147 II 13 E. 3.1 ff.; Urteil des BGer 2C_780/2018 vom 1. Februar 2021 E. 3.7.4; Urteil des BVGer A-2727/2023 vom 2. April 2024 E. 2.5).</w:t>
      </w:r>
    </w:p>
    <w:p>
      <w:r>
        <w:rPr>
          <w:b/>
        </w:rPr>
        <w:t>E. 3.6.2</w:t>
      </w:r>
    </w:p>
    <w:p>
      <w:r>
        <w:t>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A-1648/2016 vom 27. Juni 2017 E. 6.2).</w:t>
      </w:r>
    </w:p>
    <w:p>
      <w:r>
        <w:rPr>
          <w:b/>
        </w:rPr>
        <w:t>E. 4</w:t>
      </w:r>
    </w:p>
    <w:p>
      <w:r>
        <w:t>Im Folgenden ist zu prüfen, ob die zur Übermittlung vorgesehenen Informationen betreffend verschiedene, vom Amtshilfeersuchen nicht direkt betroffene Personen voraussichtlich erheblich sind (E. 4.4) und, ob allenfalls andere Gründe der Informationsübermittlung entgegenstehen (E. 4.5).</w:t>
      </w:r>
    </w:p>
    <w:p>
      <w:r>
        <w:rPr>
          <w:b/>
        </w:rPr>
        <w:t>E. 4.1</w:t>
      </w:r>
    </w:p>
    <w:p>
      <w:r>
        <w:t>Vorab ist festzuhalten, dass das Amtshilfeersuchen vom 22. Dezember 2021 die formellen Voraussetzungen gemäss Ziff. 10 Bst. a des Protokolls zum DBA CH-US (vgl. E. 3.4.1) erfüllt: Es enthält den Namen und die Adresse der in die Untersuchung einbezogenen Person (die betroffene Person), die Zeitperiode, für welche die Informationen verlangt werden ([...]), den Steuerzweck, für den die Informationen verlangt werden («tax offenses with respect to income tax»), eine ausführliche Schilderung des Zusammenhangs des Ersuchens mit der steuerstrafrechtlichen Untersuchung in den USA sowie eine Beschreibung der verlangten Informationen und den Namen der Informationsinhaberin (vgl. Sachverhalt Bst. A). Damit kann das Vorliegen einer sog. «fishing expedition» grundsätzlich verneint werden (E. 3.4.2). Der vom Beschwerdeführer geäusserte Vorwurf, die ersuchende Behörde habe keine hinreichenden Verdachtsmomente dargelegt und auch nicht erläutert, inwiefern sämtliche in den ersuchten Unterlagen erscheinenden Informationen von Relevanz sein könnten, erweist sich als unbegründet.</w:t>
      </w:r>
    </w:p>
    <w:p>
      <w:r>
        <w:rPr>
          <w:b/>
        </w:rPr>
        <w:t>E. 4.2</w:t>
      </w:r>
    </w:p>
    <w:p>
      <w:r>
        <w:t>Der Beschwerdeführer macht geltend, dass Informationen betreffend verschiedene Drittpersonen für die Untersuchung in den USA nicht erforderlich seien. Es handle sich dabei insbesondere um Namen, Adressen und weitere Angaben von am vorliegenden Verfahren nicht beteiligten Personen oder Gesellschaften [...], andere Banken, sowie verschiedenste Empfänger und Absender, welche von den im Amtshilfeersuchen erwähnten Konten Zahlungen erhalten oder Überweisungen an diese getätigt hätten. Diese Informationen seien nicht geeignet, als Beweismittel für die gemäss Ersuchen vermuteten Straftaten zu dienen und die beschriebenen Ermittlungen voranzutreiben, weshalb sie nicht übermittelt werden dürften und zu schwärzen seien.</w:t>
      </w:r>
    </w:p>
    <w:p>
      <w:r>
        <w:rPr>
          <w:b/>
        </w:rPr>
        <w:t>E. 4.3</w:t>
      </w:r>
    </w:p>
    <w:p>
      <w:r>
        <w:t>Die Vorinstanz hält dagegen, dass der ersuchende Staat im Amtshilfeersuchen dargelegt habe, weshalb die ersuchten Kontoinformationen für das Verfahren in den USA erheblich seien und überdies im Einzelnen erläutert habe, inwiefern eine Verbindung zu konkreten, untersuchungsrelevanten Banküberweisungen bestehe. Das StAhiG gehe dem (a)DSG als lex specialis vor, weshalb eine Berufung allein auf das (a)DSG die Informationsübermittlung nicht zu verhindern vermöge. Der Beschwerdeführer habe sodann nicht im Einzelnen, respektive in Bezug auf jedes einzelne Aktenstück dargelegt, inwiefern es im ausländischen Amtshilfeverfahren nicht erheblich sein könne.</w:t>
      </w:r>
    </w:p>
    <w:p>
      <w:r>
        <w:rPr>
          <w:b/>
        </w:rPr>
        <w:t>E. 4.4.1</w:t>
      </w:r>
    </w:p>
    <w:p>
      <w:r>
        <w:t>Bei den ersuchten Informationen handelt es sich um Daten zu bestimmten Bankkonten (Kontoeröffnungsunterlagen, Kontoauszüge, Transaktionslisten sowie Korrespondenzunterlagen und bankinterne Dokumentationen der Informationsinhaberin [vgl. Sachverhalt Bst. B.f; vgl. act. 16, «Übermittlung US-0021», «Enclosures» 01-18]). Gemäss geltender Rechtsprechung sind solche Informationen für die Überprüfung von Geldflüssen und der tatsächlichen wirtschaftlichen Verfügungsmacht und somit für die steuerliche Veranlagung der vom Amtshilfeersuchen betroffenen Person grundsätzlich relevant (vgl. E. 3.2.8).</w:t>
      </w:r>
    </w:p>
    <w:p>
      <w:r>
        <w:rPr>
          <w:b/>
        </w:rPr>
        <w:t>E. 4.4.2</w:t>
      </w:r>
    </w:p>
    <w:p>
      <w:r>
        <w:t>Mit der Vorinstanz ist festzuhalten, dass der IRS im Amtshilfeersuchen ausführlich darlegt, aufgrund welcher Umstände er den Verdacht hegt, der Beschwerdeführer habe steuerrelevantes Einkommen und Vermögen (namentlich in Form von Beteiligungen an der C._______ und Immobilien des Trusts) nicht bzw. nicht vollständig (nach-)deklariert (vgl. Amtshilfeersuchen S. 3 ff.). Ferner zeigt der IRS anhand verschiedener, mutmasslich vom Beschwerdeführer veranlasster bzw. bewilligter Transaktionen auf, dass Gelder zwischen dem im Amtshilfeersuchen erwähnten Gemeinschafts- und Gesellschaftskonto verschoben worden sind (vgl. Amtshilfeersuchen, S. 6 f.). Von der ersuchenden Behörde war - entgegen der Auffassung des Beschwerdeführers - insbesondere nicht zu erwarten, dass sie völlig lückenfrei darlegt, inwiefern sämtlich möglichen, vom Amtshilfeersuchen nicht direkt betroffenen Personen in Transaktionen zwischen dem Beschwerdeführer und der C._______ involviert gewesen sein sollen (vgl. E. 3.5.2). Dies herauszufinden bezweckt der IRS ebengerade mit dem vorliegenden Amtshilfeersuchen unter anderem. Dennoch hat der IRS im Grundsatz dargelegt, weshalb er auch Angaben zu sämtlichen in den ersuchten Bankunterlagen erscheinenden Drittpersonen («third parties») als für das Steuerstrafverfahren voraussichtlich erheblich erachtet (vgl. Sachverhalt Bst. A.d; vgl. Amtshilfeersuchen S. 10 ff). In Anwendung des Vertrauensprinzips (vgl. E. 3.5.1) und mangels entgegenstehender aktenkundiger Hinweise ist folglich auf den im Amtshilfeersuchen geschilderten Sachverhalt abzustellen. Die Untersuchung des IRS hat demnach zu Ziel, anhand der ersuchten Informationen die Frage zu beantworten, ob bzw. in welchem Umfang Geldflüsse über diese Konten steuerrechtlich dem Beschwerdeführer und nicht vorgeschobenen Domizilgesellschaften, namentlich der C._______ oder der beschwerdeberechtigten Person 1, oder seinen Familienmitgliedern ([...]) zuzuordnen sind. Dass hierfür insbesondere Informationen über Empfänger und Versender von Zahlungen, welche über die im Amtshilfeersuchen genannten Konten abgewickelt wurden, relevant sein können, liegt vorliegend auf der Hand und entspricht der geltenden Rechtsprechung. Dasselbe gilt für Informationen betreffend wirtschaftliche Berechtige, Zeichnungsberechtigte und sonstige Bevollmächtigte, zumal der IRS insbesondere auch mögliche indirekte Einflussnahmen des Beschwerdeführers auf durch Dritte gehaltene Konten untersucht (vgl. E. 3.2.8). Die pauschalen Einwände des Beschwerdeführers betreffend Informationen zu nicht namentlich genannten Drittpersonen vermögen diese grundsätzliche voraussichtliche Erheblichkeit der zur Übermittlung vorgesehenen Informationen nicht zu widerlegen (vgl. E. 3.2.9).</w:t>
      </w:r>
    </w:p>
    <w:p>
      <w:r>
        <w:rPr>
          <w:b/>
        </w:rPr>
        <w:t>E. 4.4.3</w:t>
      </w:r>
    </w:p>
    <w:p>
      <w:r>
        <w:t>Was die Identität von RA M._______ betrifft, so kann - entgegen der Behauptung des Beschwerdeführers - nicht gesagt werden, dass er bloss zufälligerweise in den zur Übermittlung vorgesehenen Dokumenten erscheint. [Ausführungen zur Rolle von RA M._______ im Zusammenhang mit der beschwerdeberechtigten Person 1]. [...]. Vor dem Hintergrund, dass der Beschwerdeführer gegenüber dem IRS zugegeben hat, namentlich die beschwerdeberechtigte Person 1 dazu benutzt zu haben, seine im Ausland gelegenen Vermögenswerte und getätigten Investitionen zu verbergen (vgl. Sachverhalt Bst. A.b), kann nicht mehr behauptet werden, Informationen [zu RA M._______] seien offensichtlich ungeeignet, die finanziellen Verhältnisse des Beschwerdeführers und somit seine Steuersituation zu erhellen.</w:t>
      </w:r>
    </w:p>
    <w:p>
      <w:r>
        <w:rPr>
          <w:b/>
        </w:rPr>
        <w:t>E. 4.4.4</w:t>
      </w:r>
    </w:p>
    <w:p>
      <w:r>
        <w:t>Als Zwischenfazit ist somit festzuhalten, dass die ersuchten Informationen zu den in der angefochtenen Schlussverfügung genannten Konten im Rahmen der bundesverwaltungsgerichtlichen Plausibilitätskontrolle (vgl. E. 3.2.6) den verlangten Konnex aufweisen. Die Nichtübermittlung der Informationen zu den betreffenden Bankkonten würde dem Zweck des Amtshilfeersuchens zuwiderlaufen, indem dem IRS Informationen vorenthalten werden würden, die (zumindest teilweise) Aufschluss über die Einkommens- und Vermögenslage des Beschwerdeführers im Zusammenhang mit diesen Bankkonten geben können. Demnach ist die Vorinstanz zu Recht davon ausgegangen, dass sich die ersuchten Informationen für den IRS als notwendig erweisen, um den vermuteten Sachverhalt (Nicht- bzw. Falschdeklaration von steuerrelevanten Einkommens- und Vermögensverhältnissen im Ausland, insbesondere durch die Gründung von reinen Domizilgesellschaften sowie durch das Verheimlichen von Beteiligungen an Unternehmen und indirekt gehaltenen Bankkonten) aufzuklären und entsprechende Auswirkungen auf die US-amerikanische Steuer prüfen zu können. Dies würde auch dann noch gelten, wenn sich die Informationen nach deren Übermittlung für den IRS schlussendlich als nicht erheblich herausstellen würden (E. 3.2.6).</w:t>
      </w:r>
    </w:p>
    <w:p>
      <w:r>
        <w:rPr>
          <w:b/>
        </w:rPr>
        <w:t>E. 4.5</w:t>
      </w:r>
    </w:p>
    <w:p>
      <w:r>
        <w:t>Schliesslich macht der Beschwerdeführer unter Berufung auf das strafprozessuale Verbot des Selbstbelastungszwangs sinngemäss geltend, er werde faktisch dazu gezwungen, seine Zustimmung zur Datenübermittlung zu geben, wenn Daten, die unabhängig von seinem Willen existieren, amtshilfeweise ins Ausland geliefert werden. Würden durch die Informationsübermittlung Dritte einer Gefahr der Strafverfolgung durch die USA ausgesetzt, riskiere der Beschwerdeführer zudem dafür haftbar gemacht zu werden.</w:t>
      </w:r>
    </w:p>
    <w:p>
      <w:r>
        <w:rPr>
          <w:b/>
        </w:rPr>
        <w:t>E. 4.5.1</w:t>
      </w:r>
    </w:p>
    <w:p>
      <w:r>
        <w:t>Auch diesbezüglich kann dem Beschwerdeführer nicht gefolgt werden. Wie erwähnt, lehnt das Bundesgericht die Anwendung der strafprozessualen Verfahrensgarantien von Art. 6 EMRK für das Verfahren betreffend Amtshilfe im ersuchten Staat grundsätzlich ab (vgl. E. 3.3.2). Das vorliegende Verfahren erfasst lediglich die Einhaltung der Bedingungen der Amtshilfe, eine Untersuchung der Schuld oder Unschuld der vom Amtshilfeverfahren betroffenen Person oder anderer Drittpersonen erfolgt nicht. Es bezieht sich zudem lediglich auf die Übermittlung von Informationen und Unterlagen, die sich - unabhängig vom Willen des Beschwerdeführers - in der Verfügungsgewalt der Informationsinhaberin befinden. Weder vom Beschwerdeführer noch von sonstigen, in den zur Übermittlung vorgesehenen Unterlagen erscheinenden Personen wird gefordert, dass sie die Informationen und Unterlagen selber liefern müssten; ebenso wenig bestehen weitere Mitwirkungspflichten. Immerhin steht es dem Beschwerdeführer - wie auch allenfalls den von ihm erwähnten Drittbetroffenen (vgl. E. 1.3.5 in fine) - frei, sich gegen die Verwendung der amtshilfeweise erlangten Informationen im gegen ihn in den USA geführten Steuerstrafverfahren zur Wehr zu setzen und dabei namentlich eine Verletzung der ihm zustehenden strafrechtlichen Verfahrensgarantien zu rügen (vgl. E. 3.3.2).</w:t>
      </w:r>
    </w:p>
    <w:p>
      <w:r>
        <w:rPr>
          <w:b/>
        </w:rPr>
        <w:t>E. 4.5.2</w:t>
      </w:r>
    </w:p>
    <w:p>
      <w:r>
        <w:t>Die Rüge der potentiellen Haftbarkeit des Beschwerdeführers ist ebenfalls unbegründet. Dem Bundesverwaltungsgericht erschliesst sich nicht, inwiefern der Beschwerdeführer die Informationsübermittlung zum Schutz von Drittpersonen zu verhindern hätte. Umstände, welche der amtshilfeweisen Erhältlichkeit der Informationen entgegenstehen würden (so namentlich das Anwaltsgeheimnis) macht der Beschwerdeführer keine geltend.</w:t>
      </w:r>
    </w:p>
    <w:p>
      <w:r>
        <w:rPr>
          <w:b/>
        </w:rPr>
        <w:t>E. 5</w:t>
      </w:r>
    </w:p>
    <w:p>
      <w:r>
        <w:t>Für das Bundesverwaltungsgericht sind schliesslich keine weiteren Gründe ersichtlich, die der Übermittlung der ersuchten Informationen im vorliegenden Fall entgegenstehen würden. Zusammenfassend erweist sich die beabsichtigte Übermittlung der Unterlagen demnach als zulässig. Die Beschwerde ist abzuweisen, soweit darauf einzutreten ist (vgl. E. 1.3.4 f.).</w:t>
      </w:r>
    </w:p>
    <w:p>
      <w:r>
        <w:rPr>
          <w:b/>
        </w:rPr>
        <w:t>E. 6.1</w:t>
      </w:r>
    </w:p>
    <w:p>
      <w:r>
        <w:t>Die Verfahrenskosten werden in der Regel der unterliegenden Partei auferlegt (Art. 63 Abs. 1 VwVG und Art. 1 ff. des Reglements vom 21. Februar 2008 über die Kosten und Entschädigungen vor dem Bundesverwaltungsgericht [VGKE, SR 173.110]). Als unterliegende Partei hat der Beschwerdeführer die Verfahrenskosten grundsätzlich in vollem Umfang zu tragen. Die Verfahrenskosten sind vorliegend auf Fr. 2'500.-- festzusetzen (vgl. Art. 2 Abs. 1 i.V.m. Art. 4 VGKE). Aufgrund der festgestellten, geringfügigen Gehörsverletzung durch die Vorinstanz (vgl. E. 2.3), rechtfertigt es sich jedoch, dem Beschwerdeführer die Verfahrenskosten im Umfang von Fr. 500.-- zu erlassen (vgl. E. 2.1.3), womit er Verfahrenskosten in der Höhe von Fr. 2'000.-- zu tragen hat. Dieser Betrag ist dem von ihm einbezahlten Kostenvorschuss von Fr. 2'500.-- zu entnehmen. Der Überschuss von Fr. 500.-- ist ihm nach Eintritt der Rechtskraft dieses Urteils zurückzuerstatten.</w:t>
      </w:r>
    </w:p>
    <w:p>
      <w:r>
        <w:rPr>
          <w:b/>
        </w:rPr>
        <w:t>E. 6.2</w:t>
      </w:r>
    </w:p>
    <w:p>
      <w:r>
        <w:t>Der unterliegenden beschwerdeführenden Partei ist grundsätzlich keine Parteientschädigung zuzusprechen (vgl. Art. 64 Abs. 1 VwVG e contrario sowie Art. 7 Abs. 1 VGKE e contrario). Analog zu den vorstehenden Ausführungen über die Verfahrenskosten rechtfertigt es sich jedoch, angesichts der festgestellten Gehörsverletzung durch die Vorinstanz vom Unterliegerprinzip ausnahmsweise abzuweichen und dem Beschwerdeführer gestützt auf das Verursacherprinzip eine reduzierte Parteient-schädigung zuzusprechen. Mangels Kostennote ist diese praxisgemäss nach freiem richterlichen Ermessen auf Fr. 750.-- festzusetzen (vgl. Art. 14 Abs. 2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