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A-5942/2017 vom 14. März 2018</w:t>
      </w:r>
    </w:p>
    <w:p>
      <w:r>
        <w:t>Bundesverwaltungsgericht, 2018-03-14, DE</w:t>
      </w:r>
    </w:p>
    <w:p>
      <w:r>
        <w:rPr>
          <w:b/>
        </w:rPr>
        <w:t xml:space="preserve">Quelle: </w:t>
      </w:r>
      <w:r>
        <w:t>https://mcp.opencaselaw.ch/entscheid/bvger_A-5942_2017</w:t>
      </w:r>
    </w:p>
    <w:p>
      <w:r>
        <w:t>FR: TAF A-5942/2017 du 14 mars 2018</w:t>
      </w:r>
    </w:p>
    <w:p>
      <w:r>
        <w:t>IT: TAF A-5942/2017 del 14 marzo 2018</w:t>
      </w:r>
    </w:p>
    <w:p>
      <w:pPr>
        <w:pStyle w:val="Heading2"/>
      </w:pPr>
      <w:r>
        <w:t>Regeste</w:t>
      </w:r>
    </w:p>
    <w:p>
      <w:r>
        <w:t>Hausinstallationen</w:t>
      </w:r>
    </w:p>
    <w:p>
      <w:pPr>
        <w:pStyle w:val="Heading2"/>
      </w:pPr>
      <w:r>
        <w:t>Erwägungen</w:t>
      </w:r>
    </w:p>
    <w:p>
      <w:r>
        <w:rPr>
          <w:b/>
        </w:rPr>
        <w:t>E. 1.1</w:t>
      </w:r>
    </w:p>
    <w:p>
      <w:r>
        <w:t>Das Bundesverwaltungsgericht ist zur Behandlung von Beschwerden gegen Verfügungen der Vorinstanz zuständig (vgl. Art. 23 des Elektrizitätsgesetzes vom 24. Juni 1902 [EleG, SR 734.0] und Art. 31 ff. des Verwaltungsgerichtsgesetzes vom 17. Juni 2005 [VGG, SR 173.32]). Das Verfahren vor dem Bundesverwaltungsgericht richtet sich nach dem Verwaltungsverfahrensgesetz vom 20. Dezember 1968 (VwVG, SR 172.021), soweit das VGG nichts anderes bestimmt (Art. 37 VGG).</w:t>
      </w:r>
    </w:p>
    <w:p>
      <w:r>
        <w:rPr>
          <w:b/>
        </w:rPr>
        <w:t>E. 1.2</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1.3</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3.1</w:t>
      </w:r>
    </w:p>
    <w:p>
      <w:r>
        <w:t>Auf den 1. Januar 2018 sind verschiedene Änderungen der Verordnung vom 7. November 2001 über elektrische Niederspannungsinstallationen (Niederspannungs-Installationsverordnung, NIV, SR 734.27) in Kraft getreten. Weil sich die angefochtene Verfügung vom 13. September 2017 noch auf die NIV in der bis zum 31. Dezember 2017 gültigen Fassung stützt, stellt sich zunächst die Frage des anwendbaren Rechts.</w:t>
      </w:r>
    </w:p>
    <w:p>
      <w:r>
        <w:rPr>
          <w:b/>
        </w:rPr>
        <w:t>E. 3.2</w:t>
      </w:r>
    </w:p>
    <w:p>
      <w:r>
        <w:t>Gemäss bundesgerichtlicher Rechtsprechung sind Verwaltungsakte mangels anderslautender intertemporaler Regelung grundsätzlich nach der materiellen Rechtslage im Zeitpunkt ihres Ergehens zu beurteilen (BGE 139 II 263 E. 6 m.H.). Neues Recht ist ausnahmsweise anzuwenden, wenn es sich aus zwingenden Gründen, vor allem um der öffentlichen Ordnung willen, aufdrängt (BGE 139 II 470 E. 4.2). Analoges soll gelten, wenn die Gesetzesänderung zur Verbesserung der rechtlichen Situation des Betroffenen führt (Urteil des BVGer B-4973/2016 vom 12. Mai 2017 E. 4.2; Moser/Beusch/Kneubühler, Prozessieren vor dem Bundesverwaltungsgericht, 2. Aufl. 2013, N. 2.203 m.H.).</w:t>
      </w:r>
    </w:p>
    <w:p>
      <w:r>
        <w:rPr>
          <w:b/>
        </w:rPr>
        <w:t>E. 3.3</w:t>
      </w:r>
    </w:p>
    <w:p>
      <w:r>
        <w:t>Vorliegend besteht weder eine spezialgesetzliche Übergangsregelung für die hier relevanten Bestimmungen noch liegen zwingende Gründe für die Anwendung neuen Rechts vor, weshalb die Bestimmungen der NIV in der bis zum 31. Dezember 2017 gültigen Fassung zur Anwendung kommen (vgl. Urteil des BVGer A-5411/2016 vom 26. Februar 2018 E. 3.3).</w:t>
      </w:r>
    </w:p>
    <w:p>
      <w:r>
        <w:rPr>
          <w:b/>
        </w:rPr>
        <w:t>E. 4</w:t>
      </w:r>
    </w:p>
    <w:p>
      <w:r>
        <w:t>Der Betriebsinhaber (Eigentümer, Pächter usw.) ist für die Beaufsichtigung der elektrischen Anlagen und die Überwachung ihres guten Zustandes verantwortlich (Art. 20 Abs. 1 EleG). Der Eigentümer oder der von ihm bezeichnete Vertreter hat dafür zu sorgen, dass die elektrischen Installationen stets den gesetzlichen Anforderungen genügen; er muss auf Verlangen den entsprechenden Sicherheitsnachweis erbringen (Art. 5 Abs. 1 NIV). Die Durchführung der technischen Kontrollen und die Ausstellung der entsprechenden Sicherheitsnachweise erfolgen durch unabhängige Kontrollorgane und akkreditierte Inspektionsstellen im Auftrag der Eigentümer der elektrischen Installationen (Art. 32 Abs. 1 NIV). Im Zusammenhang mit dem Sicherheitsnachweis bei der Übernahme einer elektrischen Installation mit einer Kontrollperiode von weniger als 20 Jahren gemäss Anhang zur NIV hat der Eigentümer innerhalb von sechs Monaten eine Abnahmekontrolle durch ein unabhängiges Kontrollorgan oder eine akkreditierte Inspektionsstelle zu veranlassen und innerhalb dieser Frist der Netzbetreiberin den Sicherheitsnachweis einzureichen (Art. 35 Abs. 3 NIV in der bis zum 31. Dezember 2017 gültigen Fassung [aNIV, AS 2002 142]). Kann die Netzbetreiberin den ausstehenden Sicherheitsnachweis trotz Mahnung nicht beschaffen, übergibt sie die Angelegenheit der Vorinstanz zur Durchsetzung.</w:t>
      </w:r>
    </w:p>
    <w:p>
      <w:r>
        <w:rPr>
          <w:b/>
        </w:rPr>
        <w:t>E. 5.1</w:t>
      </w:r>
    </w:p>
    <w:p>
      <w:r>
        <w:t>Die Beschwerdeführerin ist Eigentümerin der mit elektrischen Niederspannungsinstallationen ausgestatteten Liegenschaft X._______. Sie stellt vorliegend die Verpflichtung, als Eigentümerin einer Liegenschaft einen Sicherheitsnachweis für die Kontrolle der durchgeführten elektrischen Installationen erbringen zu müssen, nicht in Frage. Sie macht indes in tatsächlicher Hinsicht geltend, der erforderliche Sicherheitsnachweis sei am 26. Juni 2017 fristgerecht zugestellt worden.</w:t>
      </w:r>
    </w:p>
    <w:p>
      <w:r>
        <w:rPr>
          <w:b/>
        </w:rPr>
        <w:t>E. 5.2</w:t>
      </w:r>
    </w:p>
    <w:p>
      <w:r>
        <w:t>Im Verwaltungsverfahren gilt der Untersuchungsgrundsatz; die Behörde ermittelt den Sachverhalt von Amtes wegen (Art. 12 VwVG), wobei den Parteien unter Umständen Mitwirkungspflichten obliegen (Art. 13 VwVG; Jérôme Candrian, Introduction à la procédure administrative fédérale, 2013, N. 63 S. 44). Eine eigentliche Beweisführungslast trifft die Parteien dagegen - anders als im Zivilprozess - nicht (Moser/Beusch/Kneubühler, a.a.O., Rz. 3.119 und 3.149). Das Bundesverwaltungsgericht würdigt die vorgelegten Beweismittel frei (Art. 40 des Bundesgesetzes vom 4. Dezember 1947 über den Bundeszivilprozess [BZP, SR 273] i.V.m. Art. 19 VwVG). Der Beweis ist erbracht, wenn das Gericht gestützt auf die Beweiswürdigung nach objektiven Gesichtspunkten zur Überzeugung gelangt, dass sich der rechtserhebliche Sachverhalt verwirklicht hat (Moser/Beusch/Kneubühler, a.a.O., Rz. 3.141). Bleibt ein behaupteter Sachumstand unbewiesen, stellt sich die Frage, wer die Folgen der Beweislosigkeit zu tragen hat. Diesbezüglich gilt auch im Bereich des öffentlichen Rechts in Anlehnung an Art. 8 des Schweizerischen Zivilgesetzbuchs vom 10. Dezember 1907 (ZGB, SR 210) der allgemeine Rechtsgrundsatz, dass diejenige Partei das Vorhandensein einer Tatsache zu beweisen hat, welche aus ihr Rechte ableitet.</w:t>
      </w:r>
    </w:p>
    <w:p>
      <w:r>
        <w:rPr>
          <w:b/>
        </w:rPr>
        <w:t>E. 5.3</w:t>
      </w:r>
    </w:p>
    <w:p>
      <w:r>
        <w:t>Die Beschwerdeführerin bringt vor, dass der erforderliche Sicherheitsnachweis gemäss Aussagen des beauftragten Elektrounternehmens am 26. Juni 2017 der Netzbetreiberin eingereicht worden sei. Dazu legt sie jedoch weder ein Überweisungsschreiben noch einen Zustellnachweis oder Ähnliches vor. Ausserdem geht auch aus der E-Mail des beauftragten Elektrounternehmens vom 23. Juni 2017 an die Y._______ AG nicht hervor, dass es den Sicherheitsnachweis der Netzbetreiberin eingereicht hat. Vielmehr ist aus den Akten ersichtlich, dass der erbrachte Sicherheitsnachweis der Netzbetreiberin erst am 18. Oktober 2017 (Eingangsstempel der Netzbetreiberin) und somit nach Ablauf der von der Vorinstanz eingeräumten Frist bis 31. August 2017 einging und am selben Tag visiert wurde.</w:t>
      </w:r>
    </w:p>
    <w:p>
      <w:r>
        <w:rPr>
          <w:b/>
        </w:rPr>
        <w:t>E. 5.4</w:t>
      </w:r>
    </w:p>
    <w:p>
      <w:r>
        <w:t>Die Beschwerdeführerin hat somit nicht bewiesen, dass der Sicherheitsnachweis fristgerecht eingereicht wurde. Zudem kann sie sich ihrer Verantwortung als Eigentümerin nicht mit Verweis auf ein Fehlverhalten des mit der Ausstellung des Sicherheitsnachweises beauftragten Kontrollorgans entziehen. Ein solches könnte allenfalls zivilrechtliche Ansprüche der Beschwerdeführerin begründen; ihre aus der NIV fliessende öffentlich-rechtliche Verpflichtung, den Sicherheitsnachweis fristgerecht zu erbringen, bleibt davon indes unberührt (vgl. Urteile des BVGer A-4159/2016 vom 21. November 2016 E. 4.2, A-4041/2015 vom 8. März 2016 E. 4.1 m.w.H.). Weil die Beschwerdeführerin aus der bestrittenen Tatsache Rechte ableiten wollte, hat sie die Folgen dieser Beweislosigkeit zu tragen. Es ist somit davon auszugehen, dass der Sicherheitsnachweis nicht innert Frist eingegangen ist.</w:t>
      </w:r>
    </w:p>
    <w:p>
      <w:r>
        <w:rPr>
          <w:b/>
        </w:rPr>
        <w:t>E. 5.5</w:t>
      </w:r>
    </w:p>
    <w:p>
      <w:r>
        <w:t>Aus den dargelegten Gründen hat die Vorinstanz die angedrohte kostenpflichtige Verfügung vom 13. September 2017 zu Recht erlassen.</w:t>
      </w:r>
    </w:p>
    <w:p>
      <w:r>
        <w:rPr>
          <w:b/>
        </w:rPr>
        <w:t>E. 6.1</w:t>
      </w:r>
    </w:p>
    <w:p>
      <w:r>
        <w:t>Die Vorinstanz ist gemäss Art. 41 NIV berechtigt, für die Kontrolltätigkeit und für Verfügungen nach der NIV Gebühren gestützt auf die Artikel 9 und 10 der Verordnung vom 7. Dezember 1992 über das Eidgenössische Starkstrominspektorat (SR 734.24) zu erheben.</w:t>
      </w:r>
    </w:p>
    <w:p>
      <w:r>
        <w:rPr>
          <w:b/>
        </w:rPr>
        <w:t>E. 6.2</w:t>
      </w:r>
    </w:p>
    <w:p>
      <w:r>
        <w:t>Die der Beschwerdeführerin in der angefochtenen Verfügung auferlegte Gebühr von insgesamt Fr. 732.- (inkl. Auslagen), welche sich im unteren Viertel des Gebührenrahmens befindet, ist in Anbetracht des Aufwandes gemäss konstanter Rechtsprechung des Bundesverwaltungsgerichts nicht zu beanstanden (vgl. statt vieler Urteil des BVGer A-2340/2016 vom 30. August 2016 E. 5 m.w.H.; ferner Urteil des BGer 2C_1063/2013 vom 2. Juni 2014 E. 4.2). So war das von der Netzbetreiberin überwiesene Dossier zu prüfen, die Einhaltung der Frist zu kontrollieren und schliesslich eine anfechtbare Verfügung zu erlassen.</w:t>
      </w:r>
    </w:p>
    <w:p>
      <w:r>
        <w:rPr>
          <w:b/>
        </w:rPr>
        <w:t>E. 7</w:t>
      </w:r>
    </w:p>
    <w:p>
      <w:r>
        <w:t>Die Beschwerde erweist sich demnach als unbegründet und ist abzuweisen.</w:t>
      </w:r>
    </w:p>
    <w:p>
      <w:r>
        <w:rPr>
          <w:b/>
        </w:rPr>
        <w:t>E. 8</w:t>
      </w:r>
    </w:p>
    <w:p>
      <w:r>
        <w:t>Die Verfahrenskosten werden auf Fr. 800.- festgesetzt (vgl. Art. 1 ff. des Reglements vom 21. Februar 2008 über die Kosten und Entschädigungen vor dem Bundesverwaltungsgericht [VGKE, SR 173.320.2]). Sie sind dem Verfahrensausgang entsprechend der unterliegenden Beschwerdeführerin aufzuerlegen (Art. 63 Abs. 1 und 2 VwVG) und dem von dieser in gleicher Höhe geleisteten Kostenvorschuss zu entnehmen. Die Beschwerdeführerin hat als unterliegende Partei keinen Anspruch auf eine Parteientschädigung (Art. 64 Abs. 1 VwVG und Art. 7 Abs. 1 VGKE e contrario). Dasselbe gilt - von vornherein - für die Vorinstanz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