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A-5938/2011 vom 4. Juli 2012</w:t>
      </w:r>
    </w:p>
    <w:p>
      <w:r>
        <w:t>Bundesverwaltungsgericht, 2012-07-04, DE</w:t>
      </w:r>
    </w:p>
    <w:p>
      <w:r>
        <w:rPr>
          <w:b/>
        </w:rPr>
        <w:t xml:space="preserve">Quelle: </w:t>
      </w:r>
      <w:r>
        <w:t>https://mcp.opencaselaw.ch/entscheid/bvger_A-5938_2011</w:t>
      </w:r>
    </w:p>
    <w:p>
      <w:r>
        <w:t>FR: TAF A-5938/2011 du 4 juillet 2012</w:t>
      </w:r>
    </w:p>
    <w:p>
      <w:r>
        <w:t>IT: TAF A-5938/2011 del 4 luglio 2012</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(Verwaltungsverfahrensgesetz, VwVG, SR 172.021), sofern keine Ausnahme nach Art. 32 VGG gegeben ist. Eine solche liegt nicht vor und die Vorinstanz ist eine Behörde im Sinn von Art. 33 VGG. Das Bundesverwaltungsgericht ist daher für die Beurteilung der vorliegenden Beschwerde zuständig. Auf die form- und fristgerecht eingereichte Beschwerde ist einzutreten.</w:t>
      </w:r>
    </w:p>
    <w:p>
      <w:r>
        <w:rPr>
          <w:b/>
        </w:rPr>
        <w:t>E. 1.2</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2004 bis 2008 zugetragen hat, untersteht das vorliegende Verfahren in materieller Hinsicht dem alten Bundesgesetz über die Mehrwertsteuer vom 2. September 1999 (altes Mehrwertsteuergesetz, aMWSTG, AS 2000 1300).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Bezugsteuer" stehen (statt vieler: Urteil des Bundesverwaltungsgerichts A-1447/2010 vom 11. November 2011 E. 1.3).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 Die Regelung von Art. 81 MWSTG ist freilich insofern von beschränkter Tragweite, als bei Überprüfung von Entscheiden, bezüglich derer das vormalige materielle (sowie davon abhängige formelle) Recht weiterhin anwendbar ist, das damalige vorinstanzliche Unberücksichtigtlassen von Art. 81 MWSTG nicht beanstandet werden kann. Im Übrigen ist der Gehalt von Art. 81 Abs. 1 MWSTG durch die Rechtsprechung in Nachachtung von Art. 29 Abs. 2 der Bundesverfassung der Schweizerischen Eidgenossenschaft vom 18. April 1999 (BV, SR 101) bereits bisher angewendet worden (statt vieler: Urteil des Bundesverwaltungsgerichts A 5078/2008 vom 26. Mai 2010 E. 2.1).</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2.3).</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Im Steuerrecht gilt grundsätzlich, dass die Steuerbehörde für die steuerbegründenden und mehrenden Tatsachen den Nachweis zu erbringen hat, während der steuerpflichtigen Person der Nachweis der Tatsachen obliegt, welche die Steuerschuld mindern oder aufheben (Zum Ganzen statt vieler: Urteil des Bundesverwaltungsgerichts A-5166/2011 vom 3. Mai 2012 E. 2.1.2 mit weiteren Hinweisen; Ernst Blumenstein/Peter Locher, System des schweizerischen Steuerrechts, 6. Aufl., Zürich 2002, S. 454).</w:t>
      </w:r>
    </w:p>
    <w:p>
      <w:r>
        <w:rPr>
          <w:b/>
        </w:rPr>
        <w:t>E. 2.2.1</w:t>
      </w:r>
    </w:p>
    <w:p>
      <w:r>
        <w:t>Der verfassungsrechtlich in Art. 29 Abs. 2 BV garantierte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BVGE 2007/30 E. 5.6; Ulrich Häfelin/Georg Müller/Felix Uhlmann, Allgemeines Verwaltungsrecht, 6. Aufl., Zürich/Ba­sel/Genf 2010, Rz. 1672 f.).</w:t>
      </w:r>
    </w:p>
    <w:p>
      <w:r>
        <w:rPr>
          <w:b/>
        </w:rPr>
        <w:t>E. 2.2.2</w:t>
      </w:r>
    </w:p>
    <w:p>
      <w:r>
        <w:t>Für das Verfahren vor Bundesverwaltungsbehörden wird das Akteneinsichtsrecht in Art. 26-28 VwVG konkretisiert. Dieses Recht ist gleichsam Vorbedingung des Äusserungsrechts: Die betroffene Person kann sich nur dann wirksam zu einer Sache äussern und geeignete Be­weise führen oder bezeichnen, wenn ihr die Möglichkeit eingeräumt wird, die entscheidrelevanten Unterlagen einzusehen (BGE 132 II 485 E. 3.2; Bernhard Waldmann/Magnus Oeschger, in: Praxiskommentar VwVG, Waldmann/Weissenberger [Hrsg.] [nachfolgend: Praxiskommentar], Zürich/Basel/Genf 2009, N. 6 zu Art. 26). Die Behörde ist allerdings nicht verpflichtet, die Parteien von Amtes wegen zur Einsicht einzuladen (Waldmann/Oeschger, a.a.O., N. 69 zu Art. 26). Vielmehr haben die Parteien ein entsprechendes Gesuch zu stellen (BGE 132 V 387 E. 6.2 [zu Art. 29 Abs. 2 BV]; Urteil des Bundesverwaltungsgerichts A-2149/2008 und A-2170/2008 vom 17. Mai 2010 E. 6.5.2).</w:t>
      </w:r>
    </w:p>
    <w:p>
      <w:r>
        <w:rPr>
          <w:b/>
        </w:rPr>
        <w:t>E. 2.2.3</w:t>
      </w:r>
    </w:p>
    <w:p>
      <w:r>
        <w:t>Art. 35 Abs. 1 VwVG regelt die Begründungspflicht ausdrücklich, geht in seinem Ge­halt aber nicht weiter als Art. 29 Abs. 2 BV.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Urteil des Bun­des­verwal­tungs­ge­richts A-1765/2006 vom 30. März 2009 E. 3.4.2). Die Behörde ist nicht ver­pflich­tet, sich zu allen Rechtsvor­bringen der Parteien zu äussern. Viel­mehr kann sie sich auf die für den Entscheid wesent­lichen Gesichts­punkte beschränken (statt vieler: Urteil des Bun­des­verwaltungs­gerichts A-1605/2006 vom 4. März 2010 E. 5.1). Der genaue Um­fang der Begründungspflicht lässt sich nur begrenzt ab­strakt erfassen; er muss im Einzelfall individuell bestimmt werden (Felix Uhl­mann/Alexandra Schwank, in: Praxiskommentar, N. 18 zu Art. 35). An die Begründung sind umso strengere Anforderungen zu stellen, je un­be­stimmter die Rechts­grund­lage und je grösser der der Behörde ein­ge­räumte Spiel­raum ist (grundlegend: BGE 112 Ia 107 E. 2b). Die Auslegung von un­be­stimmten Ge­setzes­be­griffen und die Ermessens­betätigung muss nach­voll­ziehbar er­klärt werden (BGE 129 I 232 E. 3.3, 127 V 431 E. 2b.cc; BVGE 2008/26 E. 5.2.1).</w:t>
      </w:r>
    </w:p>
    <w:p>
      <w:r>
        <w:rPr>
          <w:b/>
        </w:rPr>
        <w:t>E. 2.2.4</w:t>
      </w:r>
    </w:p>
    <w:p>
      <w:r>
        <w:t>Aus dem Gebot der Gewährung des rechtlichen Gehörs folgt im Weiteren der Anspruch auf Abnahme der von einer Partei angebotenen Beweise, soweit diese erhebliche Tatsachen betreffen und nicht offensichtlich beweisuntauglich sind (BGE 127 I 54 E. 2b mit Hinweisen). Keine Verletzung des rechtlichen Gehörs liegt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(statt vieler: BGE 131 I 153 E. 3; Urteil des Bundesverwaltungsgerichts A-2998/2009 vom 11. November 2010 E. 2.2.3).</w:t>
      </w:r>
    </w:p>
    <w:p>
      <w:r>
        <w:rPr>
          <w:b/>
        </w:rPr>
        <w:t>E. 2.3</w:t>
      </w:r>
    </w:p>
    <w:p>
      <w:r>
        <w:t>Die Veranlagung und Entrichtung der Mehrwertsteuer erfolgt nach dem Selbstveranlagungsprinzip (Art. 46 f. aMWSTG; Blumenstein/Locher, a.a.O.,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zum Ganzen anstatt vieler: Urteil des Bundesverwaltungsgerichts A-5166/2011 vom 3. Mai 2012 E. 2.4 mit weiteren Hinweisen).</w:t>
      </w:r>
    </w:p>
    <w:p>
      <w:r>
        <w:rPr>
          <w:b/>
        </w:rPr>
        <w:t>E. 2.4.1</w:t>
      </w:r>
    </w:p>
    <w:p>
      <w:r>
        <w:t>Zu den Obliegenheiten der steuerpflichtigen Person gehört insbesondere die Buchführung (vgl. dazu die Urteile des Bundesgerichts 2A.552/2006 vom 1. Februar 2007 E. 3.1, 2A.109/2005 vom 10. März 2006 E. 2.1 f.). Gemäss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w:t>
      </w:r>
    </w:p>
    <w:p>
      <w:r>
        <w:rPr>
          <w:b/>
        </w:rPr>
        <w:t>E. 2.4.2</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den - vorliegend einschlägigen - Wegleitungen 2001 und 2008 sind genauere Angaben enthalten, wie eine derartige Buchhaltung auszugestalten ist (jeweils Rz. 878 ff.). Alle Geschäftsvorfälle müssen fortlaufend, chronologisch und lückenlos aufgezeichnet werden (jeweils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jeweils Rz. 893 f.; vgl. Urteil des Bundesgerichts 2A.297/2005 vom 3. Februar 2006 E. 3.1).</w:t>
      </w:r>
    </w:p>
    <w:p>
      <w:r>
        <w:rPr>
          <w:b/>
        </w:rPr>
        <w:t>E. 2.4.3</w:t>
      </w:r>
    </w:p>
    <w:p>
      <w:r>
        <w:t>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 des Bundesgerichts 2C_835/2011 vom 4. Juni 2012; Urteil des Bundesverwaltungsgerichts A-5166/2011 vom 3. Mai 2012 E. 2.5.4 mit weiteren Hinweisen).</w:t>
      </w:r>
    </w:p>
    <w:p>
      <w:r>
        <w:rPr>
          <w:b/>
        </w:rPr>
        <w:t>E. 2.5.1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 von Art. 58 Abs. 1 aMWSTG zu verstehen sind (vgl. dazu Pascal Mollard, TVA et taxation par estimation, veröffentlicht in Archiv für Schweizerisches Abgaberecht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2.5.2</w:t>
      </w:r>
    </w:p>
    <w:p>
      <w:r>
        <w:t>Art. 60 aMWSTG unterscheidet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aufgrund welcher diese Abweichung erklärt werden kann, nachzuweisen oder zumindest glaubhaft zu machen (Urteil des Bundesverwaltungsgerichts A-5166/2011 vom 3. Mai 2012 E. 2.6.2).</w:t>
      </w:r>
    </w:p>
    <w:p>
      <w:r>
        <w:rPr>
          <w:b/>
        </w:rPr>
        <w:t>E. 2.6.1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 des Bundesverwaltungsgerichts A-5166/2011 vom 3. Mai 2012 E. 2.7.1).</w:t>
      </w:r>
    </w:p>
    <w:p>
      <w:r>
        <w:rPr>
          <w:b/>
        </w:rPr>
        <w:t>E. 2.6.2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In Betracht kommen einerseits Schätzungsmethoden, die auf eine Ergänzung oder Rekonstruktion der ungenügenden Buchhaltung hinauslaufen, andererseits Umsatzschätzungen aufgrund unbestrittener Teil-Rechnungsergebnisse in Verbindung mit Erfahrungssätzen. Die brauchbaren Teile der Buchhaltung und allenfalls vorhandene Belege sind soweit als möglich bei der Schätzung mitzuberücksichtigen. Sie können durchaus als Basiswerte der Ermessenstaxation fungieren (Urteil des Bundesverwaltungsgerichts A-5166/2011 vom 3. Mai 2012 E. 2.7.2).</w:t>
      </w:r>
    </w:p>
    <w:p>
      <w:r>
        <w:rPr>
          <w:b/>
        </w:rPr>
        <w:t>E. 2.7.1</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w:t>
      </w:r>
    </w:p>
    <w:p>
      <w:r>
        <w:rPr>
          <w:b/>
        </w:rPr>
        <w:t>E. 2.7.2</w:t>
      </w:r>
    </w:p>
    <w:p>
      <w:r>
        <w:t>Das Bundesverwaltungsgericht überprüft das Vorliegen der Voraussetzungen für die Vornahme einer Ermessenstaxation - als Rechtsfrage - uneingeschränkt (statt vieler: Urteil des Bundesverwaltungsgerichts A 3680/2007 vom 18. August 2009 E. 5).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(Urteil des Bundesverwaltungsgerichts A-5166/2011 vom 3. Mai 2012 E. 2.10.2). Diese Praxis wurde vom Bundesgericht mehrfach bestätigt (vgl. exemplarisch Urteil des Bundesgerichts 2C_426/2007 vom 22. November 2007 E. 4.3). Für das Vorliegen der Voraussetzungen zur Vornahme einer Ermessenseinschätzung ist nach den allgemeinen Beweislastregeln die ESTV beweisbelastet. Gelangt das Gericht somit in freier Beweiswürdigung nicht zur Überzeugung, eine der beiden tatbestandsmässig vorausgesetzten Konstellationen von Art. 60 aMWSTG habe sich verwirklicht, so ist gemäss der objektiven Beweislastregel zu Ungunsten der ESTV zu entscheiden.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Sie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A-5166/2011 vom 3. Mai 2012 E. 2.10.3).</w:t>
      </w:r>
    </w:p>
    <w:p>
      <w:r>
        <w:rPr>
          <w:b/>
        </w:rPr>
        <w:t>E. 3.1</w:t>
      </w:r>
    </w:p>
    <w:p>
      <w:r>
        <w:t>Im vorliegenden Fall hat die ESTV den Umsatz des Beschwerdeführers ermessensweise ermittelt. In einem ersten Schritt ist deshalb nachfolgend darüber zu befinden, ob die ESTV zu Recht das Vorliegen der Voraussetzungen für eine Ermessenseinschätzung bejaht hat (E. 3.2). Erst und nur falls dies zutrifft, gilt es in einem zweiten Schritt zu überprüfen, ob sich die Ermessensveranlagung in ihrer Höhe als korrekt erweist (E. 3.3).</w:t>
      </w:r>
    </w:p>
    <w:p>
      <w:r>
        <w:rPr>
          <w:b/>
        </w:rPr>
        <w:t>E. 3.2.1</w:t>
      </w:r>
    </w:p>
    <w:p>
      <w:r>
        <w:t>Grundsätzliche Voraussetzung für eine zulässige Ermessenseinschätzung ist, dass die ESTV ihrer Untersuchungspflicht nachgekommen ist (E. 2.1). Die ESTV hat bereits mit ihren Schreiben vom 27. Januar 2009 und vom 21. Mai 2010 Einsicht in die Bilanzen und Erfolgsrechnungen, Aufwand- und Ertragskonti bzw. die Einreichung der Fahrtenschreiber- und Kontrollergebnisse der jährlichen Motorfahrzeugprüfungen einverlangt. Die ESTV hat demnach umfassende und relevante Beweismassnahmen von Amtes wegen durchgeführt. Sie hat das ihr Zumutbare vorgenommen, um den entscheidwesentlichen Sachverhalt möglichst genau und vollständig abzuklären. Es liegt demnach keine Verletzung der Untersuchungspflicht vor.</w:t>
      </w:r>
    </w:p>
    <w:p>
      <w:r>
        <w:rPr>
          <w:b/>
        </w:rPr>
        <w:t>E. 3.2.2</w:t>
      </w:r>
    </w:p>
    <w:p>
      <w:r>
        <w:t>Die ESTV begründet die Vornahme der Ermessenseinschätzung mit dem Vorliegen erheblicher Buchhaltungsmängel. Die Fahrtenschreiberscheiben der Jahre 2004 und 2005 fehlten. Im Weiteren habe der Beschwerdeführer kein fortlaufend addiertes und periodisch saldiertes Kassabuch geführt. Die Minussaldi im Kassabuch seien jeweils erst Ende des Geschäftsjahres ausgeglichen worden, indem die Umsätze des Beschwerdeführers nachträglich zum Jahresende verbucht worden seien. Die Aufzeichnungen über vereinnahmte Bareinahmen unter dem Jahr seien daher nicht vollständig (oben C. und E.). Der Beschwerdeführer bestreitet das Fehlen der Fahrtenschreiberscheiben und die Minussaldi im Kassabuch nicht. Er führt allerdings aus, dass diese einerseits systembedingt seien, da in einem Taxibetrieb die Tageseinnahmen "typischerweise nicht auf das Ende eines Tages (24.00 Uhr) abgerechnet werden können". Anderseits habe er zugegebenermassen seine Erträge erst auf das Jahresende hin verbucht. Gründe für diese erst nachträgliche Verbuchung nennt der Beschwerdeführer nicht.</w:t>
      </w:r>
    </w:p>
    <w:p>
      <w:r>
        <w:rPr>
          <w:b/>
        </w:rPr>
        <w:t>E. 3.2.3</w:t>
      </w:r>
    </w:p>
    <w:p>
      <w:r>
        <w:t>Das vorliegende Gewerbe, der Taxibetrieb, stellt einen bargeldintensiven Betrieb dar (vgl. Urteile des Bundesverwaltungsgerichts A 2998/2009 vom 11. November 2010 E. 3.2.1, A-281/2009 vom 14. Ok­tober 2010 E. 6.1.2, A-2149/2008 und A 2170/2008 vom 17. Mai 2010 E. 6.1.2), weshalb für die notwendige Prüfung die Führung eines tagfertigen Kassabuches zwingend erforderlich ist. Die Bareinnahmen und -aus­ga­ben müssen in diesem fortlaufend, lückenlos und zeitnah aufgezeichnet und durch Kassenstürze kontrolliert werden (E. 2.4.3; vgl. auch Urteil des Bundesgerichts 2A.109/2005 vom 10. März 2006 E. 2.2 und E. 4.3 mit ähnlicher Sachverhaltskonstellation). Das vom Beschwerdeführer erstellte Kassabuch erfüllt diese Anforderungen aufgrund der erst nachträglichen Verbuchung der Umsätze des Beschwerdeführers unbestrittenermassen nicht. Die Aufzeichnungen erweisen sich daher als schwer mangelhaft. Es fehlen die sachverhaltsmässigen Grundlagen zur Berechnung der Steuer und der abziehbaren Vorsteuern. Der Verstoss gegen die Obliegenheit, ein tagfertiges Kassabuch zu führen, stellt die materielle Richtigkeit der Buchhaltungsergebnisse grundsätzlich in Frage. Der vom Beschwerdeführer summarisch angestellte Vergleich zwischen seinen Lebenshaltungskosten, der Veränderung an seinem Vermögen und dem Einkommen aus dem Taxibetrieb vermag in der vorliegenden Konstellation die Zweifel an der materielle Richtigkeit der Buchhaltung aufgrund des nicht tagfertigen Kassabuchs nicht auszuräumen. Die Voraussetzungen für eine Ermessenseinschätzung waren damit aufgrund der fehlenden Fahrtenschreiberscheiben und des mangelhaften Kassabuchs gegeben (E. 2.5), und die ESTV war deshalb nicht nur berechtigt, sondern auch verpflichtet, eine solche vorzunehmen (E. 2.6.1). Auf die vom Beschwerdeführer beantragte Befragung des Inhabers über das Kassabuch kann im Sinn einer antizipierten Beweiswürdigung aufgrund der Aktenlage verzichtet werden (E. 2.2.4). 3.3.1 Da die Voraussetzungen für eine Ermessungseinschätzungen erfüllt sind, ist nun zu prüfen, ob die von der ESTV vorgenommene Ermessenseinschätzung den individuellen Verhältnissen des Beschwerdeführers soweit als möglich Rechnung trägt, auf plausiblen Angaben beruht und deren Ergebnis der wirklichen Situation möglichst nahe kommt (E. 2.6.2). Dabei ist vorab auf die von der ESTV gewählte Einschätzungsmethode (3.3.2) einzugehen. Falls diese Methode sachgerecht ist, muss anschliessend geprüft werden, inwieweit der Beschwerdeführer mit seinen Rügen gegen das Resultat der Schätzung der ESTV durchzudringen vermag. Dabei sind die vom Beschwerdeführer gerügte Berechnung der durchschnittlichen Jahreskilometerzahl (E. 3.3.3) und die Ermittlung der Anzahl der miteinbezogenen Kilometerstände bzw. Fahrzeuge (E. 3.3.4 bzw. E. 3.3.5) zu überprüfen. Anschliessend ist die vom Beschwerdeführer vorgeschlagene Alternativmethode zur Ermittlung des Umsatzes zu würdigen (E. 3.3.7). 3.3.2 Der Beschwerdeführer rügt vorab, dass die ESTV die Einschätzung auf Grundlage der Werkstattrechnungen der einzelnen Fahrzeuge vorgenommen habe. Das Abstellen auf die Jahreskilometerzahl gemäss Werkstattrechnungen sei fehleranfälliger als das Abstellen auf die Jahreskilometer der Fahrtenschreiberscheiben, der Fahrzeugprüfungen und Daten-Taxiuhren. Dies darum, weil die Kilometeranzeige durch die Autoreparateure auf die Rechnungen übertragen werden müsse. Dieses Übertragen der Zahlen durch Dritte sei "per se" fehleranfällig. Die ESTV begründet das Abstellen auf die Werkstattrechnungen demgegenüber damit, dass diese im Gegensatz zu den Fahrzeugprüfungen und den Daten-Taxiuhren über den ganzen Untersuchungszeitraum vorgelegen hätten und dass daher eine Vermischung von unterschiedlichen Quellen bzw. Methoden nicht notwendig gewesen sei. Das von der ESTV gewählte Vorgehen erweist sich als zulässig: Die gefahrenen Kilometer lassen sich zuverlässig aus den jeweiligen Werkstattrechnungen eruieren. Es ist zwar nicht ausgeschlossen, dass Kilometerstände einmal falsch abgelesen und übertragen werden. Der Beschwerdeführer, welcher dafür beweisbelastet ist (E. 2.7.2), vermag aber im vorliegenden Fall nicht darzulegen, dass dem auch tatsächlich so gewesen wäre. Wie die ESTV in ihrer Vernehmlassung vom 14. Dezember 2011 ausführt, lässt der Vergleich mit den Jahreskilometern, welche der Beschwerdeführer aufgrund der Fahrtenschreiberscheiben, der Prüfberichte des Strassenverkehrsamtes und der Taxiuhren berechnet hat und in etwa der geschätzten Jahreskilometerzahl der ESTV entspricht, nicht den Schluss zu, dass diese Schätzung von 28'000 km pro Fahrzeug falsch wäre. Vielmehr ist davon auszugehen, dass die gewählte Berechnungsmethode, welche auf die Kilometerzahlen anhand der Werkstattrechnungen abstellt, der tatsächlichen Situation am nächsten kommt. Die von der ESTV angewandte Schätzungsmethode ist mithin nicht zu beanstanden; sie erweist sich als sachgerecht. Es ist daher im Folgenden anhand der Rügen des Beschwerdeführers zu prüfen, ob die Berechnung gemäss der von der ESTV gewählten Methode richtig erfolgt ist. 3.3.3 Der Beschwerdeführer rügt, die Berechnung der Jahreskilometerzahl der ESTV sei in mehreren Punkten falsch. So sei dem Umstand, dass einzelne Fahrzeuge in einem Jahr sehr viele und in einem anderen Jahr sehr wenige Kilometer zurücklegen würden, nicht Rechnung getragen worden. Auch würden die gefahrenen Kilometer pro Taxifahrer und Fahrzeug stark variieren. Ob diese Behauptungen für die vorliegend zu beurteilenden Steuerperioden zutrifft, kann offen gelassen werden, vermag doch der Beschwerdeführer nicht darzulegen, inwieweit sich diese Unterschiede in der Auslastung der Fahrzeuge und Taxifahrer auf den berechneten Durchschnittswert an gefahrenen Jahreskilometern hätte auswirken sollen. Es liegt vielmehr in der mathematischen Natur eines Durchschnittswerts, einen Mittelwert zwischen hohen und niedrigen Zahlen zu ermitteln. 3.3.4 Der Beschwerdeführer wendet weiter ein, dass die Kilometerstände einzelner Fahrzeuge falsch in die Berechnungen der ESTV miteinbezogen worden seien. Wie ausgeführt, trägt - falls eine Ermessenseinschätzung durch die ESTV zu Recht erfolgte - die steuerpflichtige Person die Beweislast für die Unrichtigkeit der Ermessenseinschätzung (E. 2.7.2). Im vorliegenden Fall obliegt es also dem Beschwerdeführer darzulegen, wieso die Einschätzung bezüglich der Fahrzeuge fehlerbehaftet sei. Das Bundesverwaltungsgericht setzt bei der Bewertung der Vorbringen grundsätzlich nur dann sein eigenes Ermessen an Stelle desjenigen der Vorinstanz, wenn dieser erhebliche Fehler unterlaufen sind (E. 2.7.2). Der Beschwerdeführer macht zunächst geltend, dass das Fahrzeug D._______ (Stamm-Nr. ...) zweimal für die Ermittlung des Durchschnittswerts berücksichtigt worden sei. Dies lässt sich aber gemäss Aktenlage dadurch erklären, dass das besagte Fahrzeug mit zwei verschiedenen Kontrollschildern gefahren wurde. Weiter sei das Fahrzeug E._______ (Stamm-Nr. ...) nur durch den Sohn des Beschwerdeführers privat, nicht aber für den Taxibetrieb eingesetzt worden. Die Jahreskilometer dieses Fahrzeuges seien daher nicht in die Berechnung miteinzubeziehen. Die ESTV führt hierzu aus, dass der errechnete Tagesdurchschnitt für dieses Fahrzeug rund 70 km betragen habe, was gegen den Privatgebrauch spreche. Zudem sei das Fahrzeug in den Geschäftsbüchern des Beschwerdeführers aufgeführt und die Werkstattrechnungen als Aufwandposition verbucht. In diesem Licht erscheint es wenig überzeugend, dass das Fahrzeug - wie der Beschwerdeführer behauptet - lediglich für private Zwecke genutzt wurde. Der Beschwerdeführer rügt weiter, dass das Fahrzeug F._______ (Stamm-Nr. ...) erst im April 2007 gekauft und in die Flotte integriert worden sei. Ihre Berechnung der durchschnittlichen Jahreskilometer dieses Fahrzeuges basierend auf den Prüfberichten des Strassenverkehrsamtes St. Gallen bzw. der Fahrtenschreiberscheiben von 2007 bis 2008 ergäbe eine tiefere Zahl als die von der ESTV auf Grundlage der Werkstattrechnungen von 2004 bis 2008 ermittelten Jahreskilometer von 27'870 km. Diesbezüglich bleibt festzuhalten, dass der Beschwerdeführer den Nachweis, dass er das betreffende Fahrzeug erst im April 2007 erworben hat (z.B. Kaufvertrag oder Rechnung), nicht erbringt. Sodann sei das Fahrzeug G._______ (Stamm-Nr. ...) als "Oldtimer" nur selten eingesetzt worden. Zwischen der Strassenverkehrsamts-Prüfung vom 16. April 2004 und der Prüfung vom 13. Juli 2009 seien insgesamt lediglich 657 km gefahren worden. Die ESTV wendet dagegen ein, dass das Fahrzeug zwischen dem 9. Dezember 2003 und dem 28. Juni 2004 viermal sich in der Garage befunden habe, wobei sich aufgrund der Differenz der Kilometerstände zwischen der ersten und der letzten Werkstattrechnung auf ein Jahr hochgerechnet 16'539 km ergebe. Der Beschwerdeführer vermag die Diskrepanz, dass das Fahrzeug im Zeitraum vom Dezember 2003 bis zum Juni 2004 9'283 km gefahren wurde, in den fünf Folgejahren aber lediglich 657 km, nicht zu erklären. Der Beschwerdeführer rügt weiter, dass die Ermittlung der Jahreskilometer betreffend das Fahrzeug H._______ (Stamm-Nr. ...) mit 27'265 km falsch angegeben sei. Eigene Berechnungen aufgrund der Prüfberichte des Strassenverkehrsamtes sowie des Fahrt- und Restwegschreiberprüfberichts vom 15. Juni 2009 und vom 28. März 2007 und der Fahrtenschreiberscheiben hätten einen Jahreskilometerdurchschnitt von 25'193 km ergeben. Die ESTV führt dagegen richterweise aus, dass dem Beschwerdeführer bei diesem Fahrzeug ein Rechnungsfehler unterlaufen sei. Der Durchschnitt der Jahre 2004 (28'312 km), 2005 (22'458 km), 2006 (21'928 km), 2007 (28'975 km) und 2008 (32'132 km) betrage 26'761 km und liege damit lediglich 500 km unter der für die Schätzung berücksichtigten Jahreskilometerzahl. Gemäss Beschwerdeführer sei zudem das Fahrzeug I._______ (Stamm-Nr. ...) in die Berechnung der durchschnittlichen Jahreskilometerzahl miteinzubeziehen. Die Jahreskilometerleistung dieses Fahrzeuges betrage seit dem 27. Oktober 2007 (Erstzulassung) 12'703 km. Die ESTV führt hierzu in nachvollziehbarer Weise aus, dass die Kilometerzahl dieses Fahrzeuges bereits in die Berechnungen eingeflossen sei. Das Fahrzeug sei auf den Details zu den Berechnungen als "Neuer Wagen" ausgewiesen. Zusammenfassend geht damit aus diesen Ausführungen zu den einzelnen Fahrzeugen hervor, dass der ESTV im Rahmen ihrer Ermessenseinschätzung kein erheblicher Fehler ersichtlich ist, der für eine Korrektur durch das Bundesverwaltungsgericht im Lichte der bisherigen Rechtsprechung zwingend vorhanden sein müsste (E. 2.7.2). Ein gegenteiliger Beweis misslingt dem Beschwerdeführer. Die Bewertung der einzelnen Fahrzeuge bzw. Kilometerstände durch die ESTV ist im Rahmen der eingeschränkten Prüfung durch das Bundesverwaltungsgericht nicht zu beanstanden. 3.3.5 Der Beschwerdeführer bestreitet weiter die Multiplikation der durchschnittlichen Jahreskilometer mit den betriebsbewilligten Fahrzeugen und verlangt eine Multiplikation mit den tatsächlich genutzten Fahrzeugen. Es liege in der Natur eines Taxibetriebes, dass nicht die gesamte betriebsbewilligte Flotte auch tatsächlich betrieblich genutzt werde. So seien im Geschäftsjahr 2004 11 Fahrzeuge, im Geschäftsjahr 2005 12 Fahrzeuge, im Geschäftsjahr 2006 11 Fahrzeuge, im Geschäftsjahr 2007 12 Fahrzeuge und im Geschäftsjahr 2008 13 Fahrzeuge in Betrieb gewesen. Die ESTV multiplizierte dagegen für das Geschäftsjahr 2004 die durchschnittliche Jahreskilometerzahl mit 11.75 Fahrzeugen und ab 2004 mit 14 angemeldeten Taxis. Gemäss Art. 4 Abs. 3 des Taxireglements der Stadt St. Gallen vom 27. September 1994 (sRS 713.1) ist in der Betriebsbewilligung die Zahl der betriebenen Fahrzeuge verbindlich festzuhalten. Wird die angegebene Zahl unterschritten, so ist die Betriebsbewilligung spätestens nach Ablauf von drei Monaten der Zahl der tatsächlich betriebenen Fahrzeuge anzupassen. Lag die Anzahl der tatsächlich betriebenen Fahrzeuge somit unter der bewilligten Anzahl an Taxis, so hätte der Beschwerdeführer pflichtgemäss die Betriebsbewilligung in einem Zeitraum von drei Monaten anpassen lassen müssen. Eine diesbezügliche Anpassung ist gemäss Akten aber nicht erfolgt. Gemäss Art. 1 des Gebührentarifs betreffend das Taxiwesen der Stadt St. Gallen vom 19. April 1995 (sRS 713.112) beträgt die jährliche Benutzungsgebühr Fr. 500.--, die Änderung einer bereits erteilten Betriebsbewilligung (z.B. aufgrund einer veränderten Zahl von betriebenen Taxis) kostet dagegen lediglich Fr. 150.--. Demnach wäre der Beschwerdeführer rechtlich verpflichtet gewesen, Änderungen am Taxibestand zu melden. Zudem wäre eine Meldung aufgrund der höheren Bewilligungskosten im Vergleich zu den Änderungskosten auch ökonomisch angebracht gewesen. Die Behauptung des Beschwerdeführers, die Zahl der tatsächlich benutzten Taxis läge unter derjenigen der bewilligten Taxis, erscheint in diesem Licht wenig glaubhaft. Da ihm aufgrund der Umkehr der Beweislastregeln der Beweis der Unrichtigkeit der Schätzung der ESTV obliegt, ist aufgrund von dessen Nichtgelingen zu seinen Ungunsten zu entscheiden (E. 2.7.2). Das Abstellen der ESTV auf die Anzahl der bewilligten Taxis ist in diesem Lichte nicht zu beanstanden. 3.3.6 Auf die vom Beschwerdeführer beantragte Befragung betreffend die miteinbezogenen Kilometerstände und die Anzahl der eingesetzten Fahrzeuge kann im Sinn einer antizipierten Beweiswürdigung verzichtet werden (E. 2.2.4). Das Bundesverwaltungsgericht hat aufgrund der Aktenlage seine Überzeugung gebildet. Eine Befragung vermöchte daran nichts zu ändern. 3.3.7 In seiner Einsprache vom 22. November 2010 bzw. der Korrigenda zur Einsprache vom 23. November 2010 und wieder in der vorliegend zu beurteilenden Beschwerde ermittelt der Beschwerdeführer die Umsätze für die Jahre 2004 bis 2008 auf Grundlage der effektiven Umsatzzahlen der Monate August, September und Oktober 2010 bzw. auf der für diese Monate massgeblichen Tagesrapporte und Fahrtenschreiberschreiben. Diese Analyse ergab einen Umsatzaufrechnungsbetrag von Fr. 106'084.-- Im Ergebnis schlägt der Beschwerdeführer somit eine alternative Berechnungsmethode vor. Zwar kann die von ihm damit vorgeschlagene Rekonstruktion der fraglichen Umsatzzahlen mittels aktueller Umsatzzahlen als anerkannte Schätzungsmethode gelten. Der Beschwerdeführer vermag aber nicht darzulegen, wieso sich diese, seine auf die Umsatzzahlen der Monate August, September und Oktober 2010 abstützende Schätzungsmethode besser zur Ermittlung des Umsatzes der Jahre 2004 bis 2008 eignen sollte, als die von der ESTV gewählte zulässige Methode, welche auf den Werkstattrechnungen der fraglichen Jahre basiert (oben E. 3.3.2). Das Bundesverwaltungsgericht setzt grundsätzlich nur dann sein eigenes Ermessen an dies Stelle desjenigen der Vorinstanz, wenn dieser bei der Schätzung erhebliche Fehler unterlaufen sind (E. 2.7.2). Ein solcher ist - wie bereits dargelegt - nicht ersichtlich, womit es bei der von der ESTV gewählten Methode sein Bewenden hat und eine Berechnung des Umsatzes für den fraglichen Zeitraum vom 1. Januar 2004 bis zum 30. September 2008 gemäss der alternativen Methode des Beschwerdeführers nicht vorzunehmen ist.</w:t>
      </w:r>
    </w:p>
    <w:p>
      <w:r>
        <w:rPr>
          <w:b/>
        </w:rPr>
        <w:t>E. 3.4</w:t>
      </w:r>
    </w:p>
    <w:p>
      <w:r>
        <w:t>Schliesslich rügt der Beschwerdeführer die Verletzung des Anspruchs auf rechtliches Gehör. So habe die ESTV die "Berechnung der Ermittlung der durchschnittlich gefahrenen Kilometer aufgrund der Werkstattrechnungen sowie die Werkstattrechnungen" dem Beschwerdeführer nicht offengelegt. Zwar habe sie in Bezug auf kalkulatorische Umsatzermittlung dem Beschwerdeführer gewisse Dokumente zugestellt, aus diesen Unterlagen seien aber die einzelnen Werkstattrechnungen nicht ersichtlich. Zudem sei ihm - auch auf Ersuchen hin - die betreffenden Werkstattrechnungen nicht zugestellt worden. Der Beschwerdeführer rügt im Ergebnis also die Nichtzustellung der ihm bereits bekannten Werkstattrechnungen und die angeblich nicht erfolgte Offenlegung der Berechnung des fraglichen Umsatzes. Mit Beilage I zur Verfügung vom 20. Oktober 2010 legt die ESTV offen, wie sie den Umsatz für die fragliche Periode ermittelt hat. In der Spalte mit der Bezeichnung "gef. KM" finden sich die aufaddierten gefahrenen Kilometer pro Fahrzeug, welche sich aus den Differenzen der Kilometerstände gemäss Werkstattrechnungen der entsprechenden Periode von 1. Januar 2004 bis zum 30. September 2008 ergeben. Der Spalte "Anz. Tage" können die Anzahl Tage entnommen werden, an welchen die aufaddierten Kilometer gefahren wurden. Anhand dieser Zahlen errechnet die ESTV die Anzahl Kilometer pro Tag und rechnet dieses Ergebnis dann pro Fahrzeug auf ein Jahr hoch. Der Durchschnitt dieser Hochrechnungen pro Fahrzeug ergibt den ermittelten Jahresdurchschnitt pro Fahrzeug von 29'194 km, wobei die ESTV zu Gunsten des Beschwerdeführers für die Berechnung des Umsatzes von lediglich 28'000 km ausgeht. Diese Ausführungen zeigen, dass mit der Zustellung der Beilage I die ESTV im Ergebnis die Berechnung des Jahresdurchschnitts dem Beschwerdeführer in nachvollziehbarer Weise offengelegt hat (E. 2.5.3). Der Anspruch auf rechtliches Gehör ist damit nicht verletzt.</w:t>
      </w:r>
    </w:p>
    <w:p>
      <w:r>
        <w:rPr>
          <w:b/>
        </w:rPr>
        <w:t>E. 4</w:t>
      </w:r>
    </w:p>
    <w:p>
      <w:r>
        <w:t>Nach dem Ausgeführten ist die Beschwerde abzuweisen. Ausgangsgemäss sind die Verfahrenskosten in der Höhe von Fr. 3'300.-- dem Beschwerdeführer aufzuerlegen (Art. 63 Abs. 1 VwVG) und mit dem in gleicher Höhe geleisteten Kostenvorschuss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