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A-5911/2019 vom 12. März 2020</w:t>
      </w:r>
    </w:p>
    <w:p>
      <w:r>
        <w:t>Bundesverwaltungsgericht, 2020-03-12, DE</w:t>
      </w:r>
    </w:p>
    <w:p>
      <w:r>
        <w:rPr>
          <w:b/>
        </w:rPr>
        <w:t xml:space="preserve">Quelle: </w:t>
      </w:r>
      <w:r>
        <w:t>https://mcp.opencaselaw.ch/entscheid/bvger_A-5911_2019</w:t>
      </w:r>
    </w:p>
    <w:p>
      <w:r>
        <w:t>FR: TAF A-5911/2019 du 12 mars 2020</w:t>
      </w:r>
    </w:p>
    <w:p>
      <w:r>
        <w:t>IT: TAF A-5911/2019 del 12 marzo 2020</w:t>
      </w:r>
    </w:p>
    <w:p>
      <w:pPr>
        <w:pStyle w:val="Heading2"/>
      </w:pPr>
      <w:r>
        <w:t>Regeste</w:t>
      </w:r>
    </w:p>
    <w:p>
      <w:r>
        <w:t>Mehrwertsteuer</w:t>
      </w:r>
    </w:p>
    <w:p>
      <w:pPr>
        <w:pStyle w:val="Heading2"/>
      </w:pPr>
      <w:r>
        <w:t>Erwägungen</w:t>
      </w:r>
    </w:p>
    <w:p>
      <w:r>
        <w:rPr>
          <w:b/>
        </w:rPr>
        <w:t>E. 1.1</w:t>
      </w:r>
    </w:p>
    <w:p>
      <w:r>
        <w:t>Angefochten ist die Verfügung der ESTV vom 19. September 2019, worin sie gestützt auf Art. 82 MWSTG die für die Steuerperiode 2015 geschuldete Mehrwertsteuer festgesetzt und den Beschwerdeführer als solidarisch haftenden Teilhaber der aufgelösten Anwaltssozietät zur Zahlung der für diese Steuerperiode noch ausstehenden Mehrwertsteuerschulden inkl. Verzugszinsen und Kosten ins Recht fasst.</w:t>
      </w:r>
    </w:p>
    <w:p>
      <w:r>
        <w:rPr>
          <w:b/>
        </w:rPr>
        <w:t>E. 1.2</w:t>
      </w:r>
    </w:p>
    <w:p>
      <w:r>
        <w:t>Die angefochtene Verfügung vom 19. September 2019 ist im Sinne der einschlägigen Rechtsprechung einlässlich begründet (anstelle vieler: Urteil des BVGer A-4013/2018 vom 22. August 2018 E. 2.2.2). Das Bundesverwaltungsgericht ist für die Beurteilung der vorliegenden Sprungbeschwerde zuständig (Art. 83 Abs. 4 MWSTG in Verbindung mit Art. 5 des Bundesgesetzes vom 20. Dezember 1968 über das Verwaltungsverfahren [Verwaltungsverfahrensgesetz, VwVG, SR 172.021] und Art. 32 f. VwVG). Das Verfahren richtet sich nach dem VwVG, soweit das Bundesgesetz vom 17. Juni 2005 über das Bundesverwaltungsgericht (Verwaltungsgerichtsgesetz, VGG, SR 173.32) nichts anderes bestimmt (Art. 37 VGG).</w:t>
      </w:r>
    </w:p>
    <w:p>
      <w:r>
        <w:rPr>
          <w:b/>
        </w:rPr>
        <w:t>E. 1.3</w:t>
      </w:r>
    </w:p>
    <w:p>
      <w:r>
        <w:t>Der Beschwerdeführer ist Adressat der angefochtenen Verfügung und durch diese beschwert, weshalb er zur Anfechtung derselben berechtigt ist (Art. 48 Abs. 1 VwVG). Er hat die Beschwerde im Übrigen grundsätzlich form- und fristgerecht eingereicht (Art. 50 Abs. 1 und Art. 52 Abs. 1 VwVG; siehe aber Einschränkungen in E. 1.4 f.).</w:t>
      </w:r>
    </w:p>
    <w:p>
      <w:r>
        <w:rPr>
          <w:b/>
        </w:rPr>
        <w:t>E. 1.4.1</w:t>
      </w:r>
    </w:p>
    <w:p>
      <w:r>
        <w:t>Der Beschwerdeführer kann durch das Bundesverwaltungsgericht nur Rechtsverhältnisse überprüfen bzw. beurteilen lassen, zu denen die zuständige Behörde vorgängig und verbindlich - in Form einer Verfügung - Stellung genommen hat. Gegenstand des Beschwerdeverfahrens kann nur sein, was Gegenstand des vorinstanzlichen Verfahrens war oder bei richtiger Rechtsanwendung hätte sein sollen. Fragen, über welche die verfügende Behörde nicht entschieden hat, dürfen somit grundsätzlich im Beschwerdeverfahren nicht beurteilt werden (vgl. Urteil des BVGer A-5523/2015 vom 31. August 2016 E. 1.3.3).</w:t>
      </w:r>
    </w:p>
    <w:p>
      <w:r>
        <w:rPr>
          <w:b/>
        </w:rPr>
        <w:t>E. 1.4.2</w:t>
      </w:r>
    </w:p>
    <w:p>
      <w:r>
        <w:t>Die angefochtene Verfügung vom 19. September 2019 bezieht sich auf die geschuldete Mehrwertsteuer für die Steuerperiode 2015 (Zeit vom 1. Januar 2015 bis 31. Dezember 2015). Die mit Zahlungsbefehl vom 13. Juni 2016 gegen den Beschwerdeführer eingeleitete Betreibung Nr. (...) des Betreibungsamtes (...) und die anschliessend erlassene "Rechtsöffnungsverfügung" vom 13. Juni 2016 betrafen demgegenüber den provisorischen Steuerbetrag für das 1. Semester 2015 und das Bezugsverfahren nach Art. 86 MWSTG. Aus mehrwertsteuerlicher Sicht liegen somit zwei verschiedene Verfahren und zwei verschiedene Streitgegenstände vor (zum Unterschied zwischen dem provisorischen Steuerbetrag und der geschuldeten [definitiven] Steuerforderung siehe Urteil des BVGer A-3398/2017 vom 7. März 2019 E. 2.4 ff. mit weiteren Hinweisen). Auf die Rechtsbegehren Ziff. 1 und 2 des Beschwerdeführers ist deshalb nicht einzutreten, soweit sie ein aliud betreffen. Soweit der Beschwerdeführer jedoch in Ziff. 1 des Rechtsbegehrens die definitive Steuer (vgl. E. 1.5.2) anspricht, ist darauf später zurückzukommen. Weiter ist auf die Rechtsbegehren Ziff. 4 und 8 insoweit nicht einzutreten, als sie sich auf das Steuerverhältnis vor dem 1. Januar 2015 beziehen, da dieses ebenfalls nicht Gegenstand der angefochtenen Verfügung ist. Auch die definitive Steuerforderung bzw. das Steuerverhältnis ab dem 1. Januar 2016 ist nicht Gegenstand der angefochtenen Verfügung. Demzufolge ist auf die Rechtsbegehren Ziff. 5, 6, 7 und 9 in diesem Umfang ebenfalls nicht einzutreten. Das Bundesverwaltungsgericht verkennt dabei nicht, dass die Vorinstanz im Sachverhalt Bst. H der angefochtenen Verfügung vom 19. September 2019 und in den Erwägungen 2.2.3 f. zum Ausdruck bringt, dass sie die Steuerpflicht der Anwaltssozietät bis zum 31. Januar 2016 bejaht und den Beschwerdeführer bis dahin als haftenden Teilhaber betrachtet. Indes kommt diesen Erwägungen im vorliegenden Verfahren keine rechtsgestaltende Wirkung zu (zur Rechtswirkung von Erwägungen siehe Urteil des BVGer A-3398/2017 vom 7. März 2019 E. 1.6).</w:t>
      </w:r>
    </w:p>
    <w:p>
      <w:r>
        <w:rPr>
          <w:b/>
        </w:rPr>
        <w:t>E. 1.5.1</w:t>
      </w:r>
    </w:p>
    <w:p>
      <w:r>
        <w:t>Ein Feststellungsbegehren ist - abgesehen von hier nicht einschlägigen Ausnahmen - praxisgemäss nur zulässig, wenn das geltend gemachte schutzwürdige Interesse nicht ebenso gut mit einer Leistungs- oder Gestaltungsverfügung gewahrt werden kann (sog. Subsidiarität der Feststellungsverfügung; statt vieler Urteil des BVGer A-5243/2017 vom 16. August 2018 E. 1.4; ISABELLE HÄNER, in: Waldmann/Weissenberger [Hrsg.], Praxiskommentar Verwaltungsverfahrensgesetz, 2. Aufl. 2016 [Praxiskommentar VwVG], Art. 25 N. 17 ff.).</w:t>
      </w:r>
    </w:p>
    <w:p>
      <w:r>
        <w:rPr>
          <w:b/>
        </w:rPr>
        <w:t>E. 1.5.2</w:t>
      </w:r>
    </w:p>
    <w:p>
      <w:r>
        <w:t>Der Beschwerdeführer verlangt sinngemäss die Aufhebung seiner Verpflichtung zur Zahlung der noch geschuldeten (definitiven) Mehrwertsteuer der Anwaltssozietät für die Steuerperiode 2015 (vgl. Rechtsbegehren Ziff. 1 und 3). Soweit sich die Feststellungsbegehren gemäss Ziff. 4 bis 8 auf die Steuerperiode 2015 beziehen, ist auf sie in dem Umfang nicht einzutreten, als sie über die mit Rechtsbegehren Ziff. 1 und 3 gestellten Leistungsbegehren hinausgehen.</w:t>
      </w:r>
    </w:p>
    <w:p>
      <w:r>
        <w:rPr>
          <w:b/>
        </w:rPr>
        <w:t>E. 1.6</w:t>
      </w:r>
    </w:p>
    <w:p>
      <w:r>
        <w:t>Im Sinne eines Zwischenergebnisses ist festzuhalten, dass das Bundesverwaltungsgericht einzig die Rechtsbegehren Ziff. 1 und 3 im Sinne von Leistungsbegehren (Steuerpflicht der Anwaltssozietät; Haftung des Beschwerdeführers für definitive Mehrwertsteuerschulden der Anwaltssozietät) zu prüfen hat. Ferner hat es die Rechtsbegehren Ziff. 6, 7 und 9 bei der Frage der Bemessung zu berücksichtigen (E. 3.4 ff.).</w:t>
      </w:r>
    </w:p>
    <w:p>
      <w:r>
        <w:rPr>
          <w:b/>
        </w:rPr>
        <w:t>E. 2.1</w:t>
      </w:r>
    </w:p>
    <w:p>
      <w:r>
        <w:t>Die Beurteilung des vorliegenden Sachverhalts, der die Steuerperiode 2015 betrifft, richtet sich nach den materiellen Bestimmungen des MWSTG (in der Fassung vom 12. Juni 2009 [AS 2009 5203 5207], gültig gewesen bis 31. Dezember 2017, nachfolgend: MWSTG 2010 - soweit die Bestimmungen auch nach dem 1. Januar 2018 unverändert weiter gelten, werden sie nicht gesondert zitiert) sowie der dazugehörigen Verordnung (Mehrwertsteuerverordnung vom 27. November 2009, MWSTV, SR 641.201) in der bis zum 31. Dezember 2017 gültig gewesenen Fassung.</w:t>
      </w:r>
    </w:p>
    <w:p>
      <w:r>
        <w:rPr>
          <w:b/>
        </w:rPr>
        <w:t>E. 2.2</w:t>
      </w:r>
    </w:p>
    <w:p>
      <w:r>
        <w:t>Der Bund erhebt eine allgemeine Verbrauchssteuer nach dem System der Netto-Allphasensteuer mit Vorsteuerabzug (Mehrwertsteuer; Art. 130 der BV; Art. 1 Abs. 1 MWSTG). Art. 18 Abs. 1 MWSTG hält fest, dass der Inlandsteuer die im Inland durch steuerpflichtige Personen gegen Entgelt erbrachten Leistungen unterliegen. Diese sind steuerbar, soweit das MWSTG keine Ausnahme vorsieht.</w:t>
      </w:r>
    </w:p>
    <w:p>
      <w:r>
        <w:rPr>
          <w:b/>
        </w:rPr>
        <w:t>E. 2.3</w:t>
      </w:r>
    </w:p>
    <w:p>
      <w:r>
        <w:t>Gemäss Art. 10 Abs. 1 MWSTG 2010 ist steuerpflichtig, wer unabhängig von Rechtsform, Zweck und Gewinnabsicht ein Unternehmen betreibt und nicht nach Abs. 2 von der Steuerpflicht befreit ist. Ein Unternehmen betreibt, wer eine auf die nachhaltige Erzielung von Einnahmen aus Leistungen ausgerichtete berufliche oder gewerbliche Tätigkeit selbständig ausübt (Art. 10 Abs. 1 Bst. a MWSTG 2010) und unter eigenem Namen nach aussen auftritt (Art. 10 Abs. 1 Bst. b MWSTG 2010; Urteil des BGer 2C_927/2019 vom 10. Februar 2020 E. 2.2.2 ff.; Urteil des BVGer A-3398/2017 vom 7. März 2019 E. 4.3). Art. 10 Abs. 1bis MWSTG (in der seit 1. Januar 2018 geltenden Fassung) enthält den Regelungsgehalt von Art. 10 Abs. 1 zweiter Satz MWSTG 2010 (vgl. Regine Schluckebier, in: Schweizerisches Bundesgesetz über die Mehrwertsteuer, 2. Aufl. 2019 [nachfolgend: OFK], Art. 10 N. 23). Insoweit kann nachfolgend sowohl die zum früheren Recht ergangene Rechtsprechung als auch die zum früheren und neuen Recht verfasste Literatur beigezogen werden.</w:t>
      </w:r>
    </w:p>
    <w:p>
      <w:r>
        <w:rPr>
          <w:b/>
        </w:rPr>
        <w:t>E. 2.4</w:t>
      </w:r>
    </w:p>
    <w:p>
      <w:r>
        <w:t>Die subjektive Mehrwertsteuerpflicht knüpft bei demjenigen an, der ein Unternehmen betreibt ("wer" ein Unternehmen betreibt [Art. 10 Abs.1 MWSTG 2010]; auch "Unternehmensträger" genannt). Steuerpflichtig wird somit streng genommen nicht das Unternehmen, sondern der Unternehmensträger (vgl. BAUMGARTNER et al., a.a.O., § 3 N. 7; CAMENZIND et al., Handbuch zum Mehrwertsteuergesetz, 3. Aufl. 2012 [nachfolgend Handbuch-MWSTG], N. 422 ff.). Neben natürlichen und juristischen Personen kommen unter anderem auch "Personengesamtheiten ohne Rechtsfähigkeit" als Unternehmensträger in Frage (vgl. SCHLUCKEBIER, OFK, Art. 10 N. 11 ff.; Urteile des BVGer A-3398/2017 vom 7. März 2019 E. 4.4; A-5017/2013 vom 15. Juli 2014 E. 2.5).</w:t>
      </w:r>
    </w:p>
    <w:p>
      <w:r>
        <w:rPr>
          <w:b/>
        </w:rPr>
        <w:t>E. 2.5</w:t>
      </w:r>
    </w:p>
    <w:p>
      <w:r>
        <w:t>Was den bei der Beurteilung der subjektiven Steuerpflicht eines Unter-nehmensträgers massgebenden Auftritt unter eigenem Namen nach aus-sen betrifft, ist vorab darauf hinzuweisen, dass der Aussenauftritt auch ein Kriterium für die Zuordnung von Leistungen bildet (vgl. Art. 20 Abs. 1 und 2 MWSTG; siehe dazu: Urteil des BVGer A-7032/2013 vom 20. Februar 2015 E. 4.1) und er auch der Abgrenzung zu reinen Innengesellschaften dient (vgl. Urteile des BVGer A-7032/2013 vom 20. Februar 2015 E. 5.2.1, A-5017/2013 vom 15. Juli 2014 E. 2.6.3; CAMENZIND et al., Handbuch-MWSTG, N. 464; RALF IMSTEPF, Der mehrwertsteuerliche «Aussenauftritt», in: Archiv für Schweizerisches Abgaberecht [ASA] 82 S. 451 ff., S. 451 SCHLUCKEBIER, OFK, Art. 10 N. 70 ff.). Der Aussenauftritt im Sinne von Art. 10 Abs. 1 Bst. b MWSTG 2010 bildet eine eigenständige, von der selbständigen Tätigkeit im Sinne von Art. 10 Abs. 1 Bst. a MWSTG 2010 unabhängige Voraussetzung der subjektiven Steuerpflicht (IMSTEPF, a.a.O., S. 464; Urteil des BVGer A-3398/2017 vom 7. März 2019 E. 4.5, A-3251/2014 vom 19. Mai 2015 E. 6.5).</w:t>
      </w:r>
    </w:p>
    <w:p>
      <w:r>
        <w:rPr>
          <w:b/>
        </w:rPr>
        <w:t>E. 2.6</w:t>
      </w:r>
    </w:p>
    <w:p>
      <w:r>
        <w:t>Ergänzend zu den Ausführungen im Urteil A-3398/2017 vom 7. März 2019 ruft das Bundesverwaltungsgericht zur Frage der Steuerpflicht Folgendes in Erinnerung:</w:t>
      </w:r>
    </w:p>
    <w:p>
      <w:r>
        <w:rPr>
          <w:b/>
        </w:rPr>
        <w:t>E. 2.6.1</w:t>
      </w:r>
    </w:p>
    <w:p>
      <w:r>
        <w:t>Unter mehrwertsteuerlichen Gesichtspunkten ist die Rechtsform der Unternehmung nicht massgebend (Claudio Fischer, in: Zweifel/Beusch/Glauser/Robinson [Hrsg.], Bundesgesetz über die Mehrwertsteuer, 2015 [nachfolgend: Kommentar-MWSTG], Art. 10 N. 55). Auch die zivilrechtliche Rechtsfähigkeit eines Gebildes ist nicht Voraussetzung für die Mehrwertsteuerpflicht (Fischer, Kommentar-MWSTG, Art. 10 N. 57 und 59). Als "Personengesamtheiten ohne Rechtsfähigkeit" können auch Personengesamtheiten subjektiv steuerpflichtig werden, die keinen "animus societatis" aufweisen und deshalb zivilrechtlich nicht einmal als einfache Gesellschaft gelten. Massgebend ist nach konstanter Rechtsprechung nur, dass sie als Gemeinschaft im Verkehr mit Dritten auftreten (Urteil des BGer 2A.520/2003 vom 29. Juni 2004 E. 4.1; Urteile des BVGer A-5418/2007 vom 11. März 2009 E. 4.2, A-1662/2006 vom 14. Januar 2009 E. 5.1; Schluckebier, OFK, Art. 10 N. 34 mit weiteren Hinweisen).</w:t>
      </w:r>
    </w:p>
    <w:p>
      <w:r>
        <w:rPr>
          <w:b/>
        </w:rPr>
        <w:t>E. 2.6.2</w:t>
      </w:r>
    </w:p>
    <w:p>
      <w:r>
        <w:t>Wenn sich mehrere Personen zusammentun, um unter gemeinsamem Namen und auf gemeinsame Rechnung Leistungen zu erbringen, tritt die Gemeinschaft nach aussen auf und nicht die einzelnen Mitglieder (Fischer, Kommentar-MWSTG, Art. 10 N. 50 ff. mit Beispielen). Schwierigkeiten bietet hierbei weniger die Beantwortung der Frage, ob überhaupt ein Aussenauftritt vorliegt, sondern ob dieser unter eigenem Namen erfolgt, das heisst, ob der Aussenauftritt einer einzelnen Person oder einer Mehrheit von ähnlich handelnden Personen zuzuordnen ist (Fischer, Kommentar-MWSTG, Art. 10 N. 53; vgl. auch Urteil des BVGer A-1544/2006 vom 11. September 2008 E. 2.1.2).</w:t>
      </w:r>
    </w:p>
    <w:p>
      <w:r>
        <w:rPr>
          <w:b/>
        </w:rPr>
        <w:t>E. 2.7</w:t>
      </w:r>
    </w:p>
    <w:p>
      <w:r>
        <w:t>Dem Grundsatz der "Einheit des Unternehmensträgers" zufolge bezieht die Steuerpflicht des Rechtsträgers sich auf sämtliche Unternehmenseinheiten, insbesondere neben der Hauptniederlassung auch auf alle inländischen Zweigniederlassungen ("Single-entity-Prinzip"; Camenzind et al., Handbuch-MWSTG, N. 426; Baumgartner et al., Vom alten zum neuen Mehrwertsteuerrecht, 2010 [nachfolgend: Alt-Neu], § 3 N. 10). Dagegen besagt der Grundsatz der "Einheit des Unternehmens", dass sämtliche Umsätze der jeweiligen Unternehmenseinheit auch der Steuerpflicht unterliegen (Baumgartner et al, Alt-Neu, § 7 N. 45; vgl. BGE 142 II 488 E. 3.3.2; Urteil des BGer 2C_321/2015 vom 22. Dezember 2015 E. 4.3; Urteil des BVGer A-1544/2006 vom 11. September 2008 E. 2.1.2).</w:t>
      </w:r>
    </w:p>
    <w:p>
      <w:r>
        <w:rPr>
          <w:b/>
        </w:rPr>
        <w:t>E. 2.8</w:t>
      </w:r>
    </w:p>
    <w:p>
      <w:r>
        <w:t>Die Steuerpflicht endet mit der Beendigung der Unternehmenstätigkeit (Art. 14 Abs. 2 Bst. a MWSTG 2010) oder bei Vermögensliquidationen mit Abschluss des Liquidationsverfahrens (Art. 14 Abs. 2 Bst. b MWSTG 2010).</w:t>
      </w:r>
    </w:p>
    <w:p>
      <w:r>
        <w:rPr>
          <w:b/>
        </w:rPr>
        <w:t>E. 3.1</w:t>
      </w:r>
    </w:p>
    <w:p>
      <w:r>
        <w:t>Im vorliegenden Fall ist strittig, ob die Vorinstanz den Beschwerdeführer zu Recht für die ausstehende Mehrwertsteuerforderung der Anwaltssozietät für die Steuerperiode 2015 belangt. Es handelt sich hierbei um die gemäss den vom Teilhaber 2 eingereichten MWST-Abrechnungen deklarierten und geschuldeten Mehrwertsteuern, die bis anhin wegen fehlender Liquidität grösstenteils unbezahlt geblieben sind. Da sich die Frage der solidarischen Haftung nur stellt, wenn eine Hauptschuld besteht, ist vorab zu untersuchen, ob die Anwaltssozietät in der Steuerperiode 2015 in mehrwertsteuerlicher Hinsicht gegen aussen aufgetreten ist und steuerpflichtige Leistungen erbracht hat (E. 3.2 f.).</w:t>
      </w:r>
    </w:p>
    <w:p>
      <w:r>
        <w:rPr>
          <w:b/>
        </w:rPr>
        <w:t>E. 3.2.1</w:t>
      </w:r>
    </w:p>
    <w:p>
      <w:r>
        <w:t>Unter dem Aspekt der Steuerpflicht spielt die Rechtsform keine Rolle, massbebend ist vielmehr die unternehmerische Tätigkeit, insbesondere der "Aussenauftritt" (E. 2.6).</w:t>
      </w:r>
    </w:p>
    <w:p>
      <w:r>
        <w:rPr>
          <w:b/>
        </w:rPr>
        <w:t>E. 3.2.2</w:t>
      </w:r>
    </w:p>
    <w:p>
      <w:r>
        <w:t>Der Teilhaber 1 hat zwar mehrfach gegenüber der ESTV kundgetan, dass die Anwaltssozietät seit 1998 nicht mehr in der Rechtsform einer "einfachen Gesellschaft" geführt werde, so z.B. mit Schreiben vom 28. März 2014, 23. April 2014, vom 10. Juni 2014, 20. August 2014, 26. November 2014, vom September 2015; indessen ist dies aus mehrwertsteuerlicher Sicht insoweit ohne Belang, als weiterhin ein gemeinsamer Aussenauftritt gegeben ist. Dieser gemeinsame Aussenauftritt ist namentlich mit Blick auf das Schreiben vom September 2015 zu bejahen, wurde es doch unter dem gemeinsamen Briefkopf "AB_______ RECHTSANWÄLTE" und in Erwähnung einer einzigen MWST-Nr. verfasst. Schon deswegen ist in mehrwertsteuerlicher Hinsicht in der Steuerperiode 2015 von einem gemeinsamen Aussenauftritt der Anwaltssozietät auszugehen.</w:t>
      </w:r>
    </w:p>
    <w:p>
      <w:r>
        <w:rPr>
          <w:b/>
        </w:rPr>
        <w:t>E. 3.2.3</w:t>
      </w:r>
    </w:p>
    <w:p>
      <w:r>
        <w:t>Nichts anderes ergibt sich aus dem Internet-Auftritt der Anwaltssozietät, wie aus dem aktenkundigen Print-Out der Startseite der Homepage der Anwaltssozietät vom 3. November 2015 ersichtlich ist.</w:t>
      </w:r>
    </w:p>
    <w:p>
      <w:r>
        <w:rPr>
          <w:b/>
        </w:rPr>
        <w:t>E. 3.2.4</w:t>
      </w:r>
    </w:p>
    <w:p>
      <w:r>
        <w:t>Auch mit Bezug auf die Rechnungsstellung ist weiterhin von einem gemeinsamen Aussenauftritt der Anwaltssozietät auszugehen wie nachfolgend zu zeigen ist: Von den von der Vorinstanz in der angefochtenen Verfügung vom 19. September 2019 zum Nachweis des gemeinsamen Aussenauftritts angeführten Rechnungen vom 27. November 2015, vom 9. Juni 2016 und vom 28. März 2018 (vgl. daselbst E. 2.3.2) ist nur die Rechnung vom 27. November 2015 aktenkundig. Nachdem die Anwaltssozietät per 31. Januar 2016 im Register der Mehrwertsteuerpflichtigen gelöscht worden ist, ist die Relevanz der weiteren Rechnungen für das vorliegende Verfahren nicht ersichtlich, weshalb auf Weiterungen hierzu zu verzichten ist. Aktenkundig sind unter anderem drei Honorarnoten vom 20. November 2015, vom 25. November 2015 und eben vom 27. November 2015, in welchen die bisherige "Firma" und ihre MWST-Nr. weiterhin verwendet worden sind, der Teilhaber 1 aber als Konsiliarius aufgeführt worden ist. Diese Rechnungen sind der ESTV vom Teilhaber 2 eingereicht worden. Diesen Rechnungen zufolge ist auch in der Steuerperiode 2015 weiterhin von einem gemeinsamen Aussenauftritt auszugehen. Daran vermag auch nichts zu ändern, dass der Teilhaber 1 auf der Rechnung als Konsiliarius aufgeführt ist und dass die Honorare aus den beiden Rechnungen vom 25. November 2015 und vom 27. November 2015 über ein neu eröffnetes Bankkonto der "A._______ &amp; Partner" - einer anderen Anwaltssozietät - vereinnahmt worden sind. Vielmehr sind die fraglichen Rechnungen dem Wirkungskreis des Beschwerdeführers zuzurechnen und als ihm bekannt vorauszusetzen. Hierbei ist unerheblich, ob der Beschwerdeführer im damaligen Zeitpunkt über die Art der Rechnungsstellung im Detail Kenntnis gehabt hat, ist er doch der Namensgeber der einkassierenden Anwaltssozietät.</w:t>
      </w:r>
    </w:p>
    <w:p>
      <w:r>
        <w:rPr>
          <w:b/>
        </w:rPr>
        <w:t>E. 3.3</w:t>
      </w:r>
    </w:p>
    <w:p>
      <w:r>
        <w:t>Im Sinne eines Zwischenergebnisses ist auch für die Steuerperiode 2015 ein gemeinsamer Aussenauftritt der Anwaltssozietät zu bejahen. Die Anwaltssozietät ist demnach wie bisher als Unternehmensträgerin zu betrachten und auch in dieser Steuerperiode steuerpflichtig.</w:t>
      </w:r>
    </w:p>
    <w:p>
      <w:r>
        <w:rPr>
          <w:b/>
        </w:rPr>
        <w:t>E. 3.4.1</w:t>
      </w:r>
    </w:p>
    <w:p>
      <w:r>
        <w:t>Wie erwähnt (vgl. E. 2.5) bestimmt der Aussenauftritt auch, wem die erbrachte Leistung mehrwertsteuerlich zuzurechnen ist, mithin wer als Leistungserbringer zu betrachten ist. Infolgedessen ist zumindest mit Bezug auf die aktenkundigen Rechnungen vom November 2015 - entgegen der Ansicht des Beschwerdeführers - davon auszugehen, dass die entsprechenden Leistungen der Anwaltssozietät zuzurechnen sind.</w:t>
      </w:r>
    </w:p>
    <w:p>
      <w:r>
        <w:rPr>
          <w:b/>
        </w:rPr>
        <w:t>E. 3.4.2</w:t>
      </w:r>
    </w:p>
    <w:p>
      <w:r>
        <w:t>Der Beschwerdeführer bringt sodann sinngemäss vor, dass der Teilhaber 2 auch Umsätze, die nicht über das gemeinsame Zeiterfassungssystem abgerechnet worden seien und die aus weiteren Geschäftszweigen stammen würden, in die MWST-Abrechnungen 2015 habe einfliessen lassen, weil der Teilhaber 2 davon ausgegangen sei, dass er alleiniger Unternehmensträger sei. Der Beschwerdeführer verweist hierzu auf die vom Teilhaber 2 angebrachten handschriftlichen Vermerke in den Grundlagen zur MWST-Abrechnung 2015 (1. Semester), die "private Geschäfte" betreffen sollen. Für das 2. Semester 2015 sei der Anteil an "privaten Geschäften" separat zu ermitteln.</w:t>
      </w:r>
    </w:p>
    <w:p>
      <w:r>
        <w:rPr>
          <w:b/>
        </w:rPr>
        <w:t>E. 3.4.3</w:t>
      </w:r>
    </w:p>
    <w:p>
      <w:r>
        <w:t>Aus den handschriftlichen Grundlagen zur MWST-Abrechnung 2015 (1. Semester 2015) ergibt sich, dass der Teilhaber 2 über Sparhefte und ein UBS-Privatkonto vereinnahmte Umsätze in der Höhe von Fr. (...) deklariert hat. Diese Umsätze enthalten Vermerke wie "C._______", "E._______", "F._______" und weitere nicht lesbare Bezeichnungen. Auch die handschriftlichen Details der MWST-Abrechnungen von früheren Steuerperioden sind im vorliegenden Verfahren aktenkundig. Daneben sind Rechnungen aus früheren Jahren aktenkundig. Diese Rechnungen sind auf dem Briefpapier der Anwaltssozietät ausgestellt worden und mit der "MWST-Nr." (...) versehen. Es handelt sich hierbei um die in der MWST-Abrechnung der Anwaltssozietät aufgeführte Referenz-Nr. Diese (Referenz-)Nummer ist auch auf einer Zwischenabrechnung vom 2. Mai 2013 aufgeführt, welche das Mandat "C._______" betrifft und gemäss Leistungsnachweis durch den Teilhaber 2 betreut wurde. Diese behaupteterweise "privaten" Leistungen sind demnach aufgrund des Aussenauftritts auch in der Steuerperiode 2015 der Anwaltssozietät zuzurechnen. Infolgedessen erweist sich der entsprechende Einwand des Beschwerdeführers als nicht zutreffend.</w:t>
      </w:r>
    </w:p>
    <w:p>
      <w:r>
        <w:rPr>
          <w:b/>
        </w:rPr>
        <w:t>E. 3.5</w:t>
      </w:r>
    </w:p>
    <w:p>
      <w:r>
        <w:t>Im Sinne eines Zwischenergebnisses ist daher davon auszugehen, dass die Anwaltssozietät in der Steuerperiode 2015 grundsätzlich Mehrwertsteuern in der Höhe von Fr. (...) schuldet. Davon sind zwei Teilzahlungen in der Höhe von Fr. (...) und Fr. (...) abzuziehen. Der verbleibende Mehrwertsteuerausstand beläuft sich damit auf Fr. (...).</w:t>
      </w:r>
    </w:p>
    <w:p>
      <w:r>
        <w:rPr>
          <w:b/>
        </w:rPr>
        <w:t>E. 4</w:t>
      </w:r>
    </w:p>
    <w:p>
      <w:r>
        <w:t>Zu prüfen bleiben somit die haftungsrechtlichen Aspekte, insbesondere ob der Beschwerdeführer für die Steuerausstände der Anwaltssozietät für die Steuerperiode 2015 persönlich belangt werden kann, und wenn ja, in welchem Umfang.</w:t>
      </w:r>
    </w:p>
    <w:p>
      <w:r>
        <w:rPr>
          <w:b/>
        </w:rPr>
        <w:t>E. 4.1</w:t>
      </w:r>
    </w:p>
    <w:p>
      <w:r>
        <w:t>Gemäss Art. 15 Abs. 1 Bst. a MWSTG haften die Teilhaber und Teilhaberinnen an einer einfachen Gesellschaft, Kollektiv- oder Kommanditgesellschaft im Rahmen ihrer zivilrechtlichen Haftbarkeit (hervorgehoben durch das Bundesverwaltungsgericht) mit der steuerpflichtigen Person solidarisch. Diese Bestimmung entspricht dem bisherigen Art. 32 Abs. 1 Bst. a des Mehrwertsteuergesetzes vom 2. September 1999 (aMWSTG, AS 2000 1300; Botschaft 2010 S. 6956; zum alten Recht vgl. BVGE 2014/15 E. 3.4.1). Diese gesetzliche Regelung ist unter anderem auch deshalb notwendig, weil die Steuerpflicht nach Art. 10 MWSTG 2010 nicht an die Rechtsform anknüpft. Damit werden Gebilde mehrwertsteuerpflichtig, die weder partei- noch betreibungsfähig sind. Solche Gebilde können per se nicht zivilrechtlich belangt und auch für Mehrwertsteuerforderungen nicht betrieben werden, weshalb eine zivil- bzw. betreibungsrechtliche Mithaftung grundsätzlich nicht möglich wäre. Deswegen müssen in diesen Fällen die beteiligten Rechtssubjekte für die Mehrwertsteuerausstände direkt betrieben werden können (vgl. hierzu Susanne Gantenbein, Kommentar-MWSTG, Art. 15 N. 4 mit weiteren Hinweisen; statt vieler: Urteil des BVGer A-1544/2006 vom 11. September 2008 E. 2.2). Der Sinn und Zweck dieser Norm besteht somit darin, den jeweiligen Teilhaber direkt für die Mehrwertsteuerausstände zu belangen, weil das "Steuersubjekt" bzw. der "Unternehmensträger" selbst nicht rechtsfähig ist. Selbstredend haftet der Teilhaber grundsätzlich für sämtliche Steuerausstände, Zinsen und Kosten des "Steuersubjekts" (vgl. Art. 15 Abs. 2 MWSTG).</w:t>
      </w:r>
    </w:p>
    <w:p>
      <w:r>
        <w:rPr>
          <w:b/>
        </w:rPr>
        <w:t>E. 4.2</w:t>
      </w:r>
    </w:p>
    <w:p>
      <w:r>
        <w:t>Das Bundesverwaltungsgericht hat im Urteil A-3398/2017 vom 7. März 2019 mit Bezug auf die damals beurteilten Steuerperioden 2010 bis 2013 die Haftung des Beschwerdeführers bejaht, wobei es offengelassen hat, ob die Anwaltssozietät in der Form einer einfachen Gesellschaft oder in der Form einer Kollektivgesellschaft weitergeführt worden sei (daselbst E. 6.2).</w:t>
      </w:r>
    </w:p>
    <w:p>
      <w:r>
        <w:rPr>
          <w:b/>
        </w:rPr>
        <w:t>E. 4.3</w:t>
      </w:r>
    </w:p>
    <w:p>
      <w:r>
        <w:t>Zu prüfen ist, ob der Beschwerdeführer auch in der Steuerperiode 2015 als Teilhaber der Anwaltssozietät zu betrachten ist. Bei der hier zu beurteilenden Konstellation steht in zivilrechtlicher Hinsicht einzig eine Teilhaberschaft einer einfachen Gesellschafft oder einer Kollektivgesellschaft zur Diskussion. Die Rechtsform einer Einzelunternehmung fällt ausser Betracht, da der Beschwerdeführer auf dem Briefpapier weiterhin als "Namensgeber" aufgetreten ist, ohne dass auf die frühere Rechtform bzw. ohne dass auf die Nachfolge hingewiesen worden ist. Es wäre sodann auch eher aussergewöhnlich, wenn der Beschwerdeführer - als Gründer und ehemaliger Teilhaber - nunmehr als Angestellter seines früheren Partners wirken würde. Jedenfalls wurde solches weder geltend gemacht noch geben sich hierfür Anhaltspunkte aus den Akten. Insoweit ist auch irrelevant, dass der Beschwerdeführer ab September 2015 auf dem Briefpapier und den Rechnungen der Anwaltssozietät als Konsilius aufgeführt worden ist. Vielmehr ist er angesichts des Namens (der "Firma") und mangels Hinweis auf eine andere Rechtsform der Anwaltssozietät weiterhin als Teilhaber zu betrachten. Insoweit kann auch weiterhin offenbleiben, in welcher Rechtsform die Anwaltssozietät in der Steuerperiode 2015 geführt worden ist oder ob für die Rechnungsstellung bzw. Mehrwertsteuerabrechnung eine Abrechnungsgesellschaft gebildet worden ist. Denn die Teilhaberschaft an der inzwischen aufgelösten Anwaltssozietät führt in beiden Fällen zur direkten Haftung für ausstehende Mehrwertsteuerschulden (vgl. Urteil des BVGer A-3389/2017 vom 7. März 2019 E. 6.3).</w:t>
      </w:r>
    </w:p>
    <w:p>
      <w:r>
        <w:rPr>
          <w:b/>
        </w:rPr>
        <w:t>E. 4.4</w:t>
      </w:r>
    </w:p>
    <w:p>
      <w:r>
        <w:t>Soweit sich der Beschwerdeführer auf Art. 544 Abs. 3 OR und insbesondere auf den "Vorbehalt der anderweitigen Vereinbarung" beruft, drängen sich folgende Ausführungen auf:</w:t>
      </w:r>
    </w:p>
    <w:p>
      <w:r>
        <w:rPr>
          <w:b/>
        </w:rPr>
        <w:t>E. 4.4.1</w:t>
      </w:r>
    </w:p>
    <w:p>
      <w:r>
        <w:t>Art. 15 Abs. 1 Bst. a MWSTG entspricht wörtlich Art. 32 Abs. 1 Bst. a des Mehrwertsteuergesetzes vom 2. September 1999 (aMWSTG, AS 2000 1300). In materieller Hinsicht hat sich somit - soweit hier interessierend - nichts geändert (vgl. dazu auch Botschaft vom 25. Juni 2008 zur Vereinfachung der Mehrwertsteuer, BBl. 2008 6885 ff., S. 6956). In der Lehre wird zu Art. 15 MWSTG ausgeführt, dass keine Steuersolidarität, sondern eine Zahlungssolidarität vorliege, wobei der Fiskus wählen könne, bei wem er die Forderung geltend machen wolle. Es handle sich also nicht um eine subsidiäre, sondern um eine primäre Haftung. Für die Haftung sei das Zivilrecht anwendbar. Nach diesem haften die Gesellschafter einer einfachen Gesellschaft persönlich, primär, ausschliesslich, unbeschränkt und solidarisch (Bossart Meier/Clavadetscher, in: Giger/Schluckebier [Hrsg.], MWSTG, 2019 [nachfolgend: OFK], Art. 15 N. 1 f. und 6 f. mit Hinweisen; Susanne Gantenbein, Kommentar-MWSTG, Art. 15 N 2 und N. 7 f. mit Hinweisen, insbesondere auf die Rechtsprechung; zuvor schon: Thomas P. Wenk, in: mwst.com, 2000 [nachfolgend: mwst.com], Art. 32 N. 2 mit Hinweis und N. 8; so auch schon: Urteil des BVGer A-1544/2006 vom 11. September 2008 E. 2.2). Zum Vorbehalt einer anderweitigen Vereinbarung äussern sie sich nicht. Schon unter der Warenumsatzsteuer hatte das Bundesgericht die solidarische Haftung eines Gesellschafters einer einfachen Gesellschaft unter Hinweis auf Art. 544 Abs. 3 OR für Steuerausstände bejaht (BGE 71 I 179 E. 1). Im damaligen Kontext bezog sich der Hinweis jedoch auf den Grundsatz der "Solidarität" und nicht auf eine "anderweitige Vereinbarung".</w:t>
      </w:r>
    </w:p>
    <w:p>
      <w:r>
        <w:rPr>
          <w:b/>
        </w:rPr>
        <w:t>E. 4.4.2</w:t>
      </w:r>
    </w:p>
    <w:p>
      <w:r>
        <w:t>Das Bundesverwaltungsgericht hat bereits in seinem Urteil A-3398/2017 vom 7. März 2019 in E. 6.3 ausgeführt, dass sich Art. 544 Abs. 3 OR vorab auf Vereinbarungen zwischen den Gesellschaftern und dem Gläubiger beziehe (mit Hinweis, siehe auch BGer 4A_562/2011 vom 16. Januar 2012 E. 4.2 und 4A_73/2014 vom 19. Juni 2014 E. 5.1 in BGE 140 III 312 nicht publizierte Erwägung). Der "Vorbehalt einer anderweitigen Vereinbarung" betrifft demnach grundsätzlich das Aussenverhältnis. Eine Abmachung im Aussenverhältnis, mithin zwischen dem Beschwerdeführer und der ESTV für die Mehrwertsteuerausstände für die Steuerperiode 2015 etc., ist nicht ersichtlich. Vielmehr hat die ESTV bereits mit Schreiben vom 2. Mai 2014 und auch später wiederholt zum Ausdruck gebracht, dass sie den Beschwerdeführer weiterhin als solidarisch haftende Person betrachte.</w:t>
      </w:r>
    </w:p>
    <w:p>
      <w:r>
        <w:rPr>
          <w:b/>
        </w:rPr>
        <w:t>E. 4.4.3</w:t>
      </w:r>
    </w:p>
    <w:p>
      <w:r>
        <w:t>Der Beschwerdeführer macht im vorliegenden Verfahren geltend, dass selbst eine im Innenverhältnis zwischen den Gesellschaftern vereinbarte anderweitige Struktur und letztlich eine damit ausgeschlossene Haftung nach dem Vertrauensprinzip auch im Aussenverhältnis (für künftige Mehrwertsteuerforderungen) Wirkung habe, wenn der Gläubiger davon Kenntnis habe oder hätte haben müssen. Diese Auffassung widerspricht der Rechtsprechung, wonach Art. 544 Abs. 3 OR eine "Vereinbarung" zwischen Schuldner und Gläubiger erfordert (E. 4.4.2). Soweit der Beschwerdeführer damit eine in der Lehre vertretene Auffassung zur Auslegung von Art. 544 Abs. 3 OR auch für die Belange der Mehrwertsteuer zur Anwendung bringen wollte (vgl. Christoph M. Pestalozzi/Hans-Ueli Vogt, in: Honsell/Vogt/Watter [Hrsg.], Obligationenrecht II, Art. 530 - 964 OR, 5. Aufl. 2016, Art. 544 N. 22), so kann ihm für die vorliegende Konstellation nicht gefolgt werden, denn auch in einem solchen Falle bräuchte es seitens der ESTV eine Form der Zustimmung, welche hier nicht vorliegt. Mit anderen Worten ist auch eine interne gesellschaftsrechtliche Vereinbarung in der vorliegend zu beurteilenden Konstellation mit Bezug auf die mehrwertsteuerliche Haftung unbeachtlich, selbst wenn und soweit sie der ESTV offengelegt und von ihr nicht akzeptiert worden ist. Insoweit ist die mehrwertsteuerliche Haftung der Privatautonomie der Parteien entzogen. Infolgedessen verhält sich die ESTV auch nicht wider Treu und Glauben, wenn sie den Beschwerdeführer für die Mehrwertsteuerausstände der Steuerperiode 2015 belangt.</w:t>
      </w:r>
    </w:p>
    <w:p>
      <w:r>
        <w:rPr>
          <w:b/>
        </w:rPr>
        <w:t>E. 4.5</w:t>
      </w:r>
    </w:p>
    <w:p>
      <w:r>
        <w:t>Aus dem vorstehend Gesagten ergibt sich somit, dass der Beschwerdeführer weiterhin als Teilhaber zu betrachten ist, wobei die rechtliche Qualifikation der Anwaltssozietät weiterhin offenbleiben kann. Daran vermag auch die vertragliche Abmachung zwischen den Gesellschaftern oder die vom Beschwerdeführer in diesem Zusammenhang angerufenen Schreiben nichts zu ändern. Die solidarische Haftung des Beschwerdeführers für die von der ESTV geltend gemachten Mehrwertsteuerausstände für die Steuerperiode 2015 ist damit gestützt auf Art. 15 Abs. 1 Bst. a MWSTG zu bejahen. Dies schliesst jedoch eine anderweitige Aufteilung der Steuerausstände in einem allfälligen zivilrechtlichen Regressverfahren unter den Teilhabern der Anwaltssozietät nicht aus.</w:t>
      </w:r>
    </w:p>
    <w:p>
      <w:r>
        <w:rPr>
          <w:b/>
        </w:rPr>
        <w:t>E. 4.6</w:t>
      </w:r>
    </w:p>
    <w:p>
      <w:r>
        <w:t>Die weiteren eventuellen Rechtsbegehren Nr. 6 bis Nr. 9 sind gestützt auf die vorstehenden Erwägungen ebenfalls abzuweisen, soweit überhaupt darauf einzutreten ist.</w:t>
      </w:r>
    </w:p>
    <w:p>
      <w:r>
        <w:rPr>
          <w:b/>
        </w:rPr>
        <w:t>E. 5</w:t>
      </w:r>
    </w:p>
    <w:p>
      <w:r>
        <w:t>Zusammenfassend ergibt sich, dass die Beschwerde vollumfänglich abzuweisen ist, soweit darauf einzutreten ist.</w:t>
      </w:r>
    </w:p>
    <w:p>
      <w:r>
        <w:rPr>
          <w:b/>
        </w:rPr>
        <w:t>E. 6</w:t>
      </w:r>
    </w:p>
    <w:p>
      <w:r>
        <w:t>Der Beschwerdeführer unterliegt vollumfänglich. Daher sind die Verfahrenskosten, die auf Fr. 4'500.- festzusetzen sind, ihm vollumfänglich aufzuerlegen (Art. 63 Abs. 1 VwVG i.V.m. Art. 2 Abs. 1 und Art. 4 des Reglements vom 21. Februar 2008 über die Kosten und Entschädigungen vor dem Bundesverwaltungsgericht [VGKE, SR 173.320.2]). Der einbezahlte Kostenvorschuss in Höhe von Fr. 4'500.-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