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A-5899/2008 vom 6. Januar 2009</w:t>
      </w:r>
    </w:p>
    <w:p>
      <w:r>
        <w:t>Bundesverwaltungsgericht, 2009-01-06, DE</w:t>
      </w:r>
    </w:p>
    <w:p>
      <w:r>
        <w:rPr>
          <w:b/>
        </w:rPr>
        <w:t xml:space="preserve">Quelle: </w:t>
      </w:r>
      <w:r>
        <w:t>https://mcp.opencaselaw.ch/entscheid/bvger_A-5899_2008</w:t>
      </w:r>
    </w:p>
    <w:p>
      <w:r>
        <w:t>FR: TAF A-5899/2008 du 6 janvier 2009</w:t>
      </w:r>
    </w:p>
    <w:p>
      <w:r>
        <w:t>IT: TAF A-5899/2008 del 6 gennaio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w:t>
      </w:r>
    </w:p>
    <w:p>
      <w:r>
        <w:rPr>
          <w:b/>
        </w:rPr>
        <w:t>E. 1.2</w:t>
      </w:r>
    </w:p>
    <w:p>
      <w:r>
        <w:t>Die Mehrwertsteuerverordnung ist auf den 1. Januar 2001 durch das Bundesgesetz vom 2. September 1999 über die Mehrwertsteuer (Mehrwertsteuergesetz, MWSTG, SR 641.20) aufgehoben worden. Nach Art. 93 Abs. 1 MWSTG bleiben die aufgehobenen Bestimmungen der MWSTV weiterhin auf alle während deren Geltungsdauer eingetretenen Tatsachen und entstandenen Rechtsverhältnisse anwendbar. Der zu beurteilende Sachverhalt verwirklichte sich in den Jahren 1995 bis 2000. Die Bestimmungen der Mehrwertsteuerverordnung bleiben anwendbar.</w:t>
      </w:r>
    </w:p>
    <w:p>
      <w:r>
        <w:rPr>
          <w:b/>
        </w:rPr>
        <w:t>E. 1.3</w:t>
      </w:r>
    </w:p>
    <w:p>
      <w:r>
        <w:t>Streitgegenstand bildet vor Bundesverwaltungsgericht das in der angefochtenen Verfügung geregelte Rechtsverhältnis, soweit es im Beschwerdeverfahren noch streitig ist (vgl. auch Urteil des Bundesgerichts 2A.121/2004 vom 16. März 2005 E. 2.1). Der Streitgegenstand ist nicht mit der angefochtenen Verfügung identisch. Diese bildet lediglich das Anfechtungsobjekt und damit den Rahmen, welcher den möglichen Umfang des Streitgegenstandes begrenzt. Anfechtungsobjekt und Streitgegenstand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zum Anfechtungs-, nicht aber zum Streitgegenstand (BGE 110 V 51 E. 3c; René A. Rhinow/Heinrich Koller/Christina Kiss, Öffentliches Prozessrecht und Justizverwaltungsrecht des Bundes, Basel 1994, Rz. 899 ff.). Die Rechtsmittelinstanz darf im Rahmen des Rechtsmittelverfahrens die Verfügung nur insoweit überprüfen, als sie angefochten ist (BGE 131 II 203 E. 3.2; Urteile des Bundesverwaltungsgerichts A-1475/2006 vom 20. November 2008 E. 1.4, A-1378/2006 vom 27. März 2008 E. 1.2 mit Hinweisen) und angefochten werden kann. Die Beschwerdebegründung in Bezug auf den Streitgegenstand stellt eine Beschwerdevoraussetzung dar, bei deren Fehlen auf die Beschwerde nicht eingetreten werden kann (Art. 52 Abs. 3 VwVG; André Moser/Michael Beusch/Lorenz Kneubühler, Prozessieren vor dem Bundesverwaltungsgericht, Basel 2008, Rz. 2.219 ff., mit Hinweisen; Markus Metz, Die Voraussetzungen der Verwaltungsbeschwerde, in: plädoyer 6/07, S. 34 ff., 37 f.).</w:t>
      </w:r>
    </w:p>
    <w:p>
      <w:r>
        <w:rPr>
          <w:b/>
        </w:rPr>
        <w:t>E. 1.4</w:t>
      </w:r>
    </w:p>
    <w:p>
      <w:r>
        <w:t>Gemäss Art. 45 VGG sind für die Revision von Entscheiden des Bundesverwaltungsgerichts die Art. 121 bis 128 des Bundesgerichtsgesetzes vom 17. Juni 2005 (BGG, SR 173.110) sinngemäss anwendbar. Die Revision eines Urteils des Bundesverwaltungsgerichts kann unter anderem verlangt werden, wenn die ersuchende Partei nachträglich erhebliche Tatsachen erfährt oder entscheidende Beweismittel auffindet, die sie im früheren Verfahren nicht beibringen konnte (Art. 123 Abs. 2 Bst. a BGG). Das Revisionsgesuch ist innert 90 Tagen nach Entdeckung der Revisionsgründe einzureichen (Art. 124 Abs. 1 Bst. d BGG). Nicht als Revisionsgründe gelten gemäss Art. 46 VGG solche Gründe, welche die Partei, die um Revision nachsucht, bereits mit der Beschwerde gegen den Entscheid des Bundesverwaltungsgerichts hätte geltend machen können.</w:t>
      </w:r>
    </w:p>
    <w:p>
      <w:r>
        <w:rPr>
          <w:b/>
        </w:rPr>
        <w:t>E. 2.1</w:t>
      </w:r>
    </w:p>
    <w:p>
      <w:r>
        <w:t>Das Bundesverwaltungsgericht hat mit Urteil A-1525/2006 vom 28. Januar 2008 über die von der ESTV vorgenommene Ermessensveranlagung der Mehrwertsteuer auf den Umsätzen des Beschwerdeführers in den Steuerperioden vom 1. Januar 1995 bis 31. Dezember 2000 entschieden und die entsprechende Beschwerde des Beschwerdeführers abgewiesen (vgl. die Erwägungen 3.1.2 bis 3.1.5 und Ziffer 1 des Dispositivs). Der im Beschwerdeverfahren durch einen Fachmann vertretene Beschwerdeführer hat trotz korrekter Rechtsmittelbelehrung dagegen keine Beschwerde beim Bundesgericht eingereicht, weshalb der genannte Entscheid des Bundesverwaltungsgerichts in Bezug auf die Umsatzschätzungen der ESTV vom 1. Januar 1995 bis 31. Dezember 2000 in Rechtskraft erwachsen ist. Soweit sich die Beschwerde dagegen richtet, ist darauf nicht einzutreten (res iudicata). Der Beschwerde lässt sich entnehmen, dass der Beschwerdeführer einen Steuerbetrag von total Fr. 49'275 bestreitet, der sich aus der seiner Ansicht nach richtigen Korrektur der Ermessenschätzung der ESTV für die Jahre 1999 und 2000 ergibt. Er anerkennt einen geschuldeten Steuerbetrag von Fr. 115'083.-- und beanstandet mithin nicht die Höhe der Gutschrift Nr. 280'374 vom 21. Juli 2008 über Fr. 121'272.-- der ESTV (vgl. E. 3 des Einspracheentscheids vom 21. Juli 2008). Streitgegenstand, wie ihn der Beschwerdeführer umschreibt, bildet damit einzig die rechtskräftige Ermessensschätzung der ESTV für die Jahre 1999 und 2000 (vgl. Beschwerde Rz. 6 - 25), was wie hiervor erwähnt unzulässig ist und diesbezüglich zum Nichteintreten führt. Streitgegenstand des Einspracheentscheids der ESTV vom 21. Juli 2008 bzw. des vorliegenden Verfahrens können damit nicht mehr die Umsatzschätzungen der Jahre 1995 bis 2000, sondern nur noch die (korrekten) Ausfuhrdeklarationen und die entsprechenden Steuerbefreiungen sein, die das Bundesverwaltungsgericht zur Überprüfung an die ESTV zurückgewiesen hat (vgl. Urteil des Bundesverwaltungsgerichts A-1525/2006 vom 28. Januar 2008 E. 3.2 und Ziff. 1 des Dispositivs). Der Beschwerdeführer begründet und belegt jedoch trotz ausdrücklicher Aufforderung und entsprechender Androhung des Nichteintretens auf seine Beschwerde nicht im Geringsten den Standpunkt, die ESTV habe mit Einspracheentscheid vom 21. Juli 2008 zu Unrecht Ausfuhrdeklarationen nicht akzeptiert. Er anerkennt vielmehr den entsprechenden Betrag von Fr. 121'272.-- (Ziff. 3 des Dispositivs des Einspracheentscheids vom 21. Juli 2008) ausdrücklich. Daher ist mangels Begründung seiner Beschwerde in Bezug auf den Streitgegenstand (Art. 52 Abs. 1 und 3 VwVG; vgl. dazu Moser/Beusch/Kneubühler, a.a.O., Rz. 2.219 ff.) auf die Beschwerde ebenfalls nicht einzutreten.</w:t>
      </w:r>
    </w:p>
    <w:p>
      <w:r>
        <w:rPr>
          <w:b/>
        </w:rPr>
        <w:t>E. 2.2</w:t>
      </w:r>
    </w:p>
    <w:p>
      <w:r>
        <w:t>Mit der notwendigen Sorgfalt hätte der damals vertretene Beschwerdeführer seine das Revisionsbegehren stützenden Argumente mit einer Beschwerde gegen das Urteil des Bundesverwaltungsgerichts vom 28. Januar 2008 vorbringen können. Dies unterliess er trotz des Umstandes, dass er bereits im Jahr 2001 im Besitz der Jahresabschlüsse der X._______GmbH war, mittels derer er seinen Standpunkt zu stützen versucht. Das Revisionsgesuch ist deshalb unzulässig (Art. 46 VGG), weshalb darauf nicht einzutreten ist. Selbst wenn das Revisionsbegehren zulässig wäre, wäre es abzuweisen, denn die Jahresabschlüsse der X._______GmbH aus den Jahren 1999 und 2000 waren dem Beschwerdeführer als Geschäftsführer der Gesellschaft schon längst bekannt; er hätte sie im Rahmen der Ermessenschätzung der ESTV einreichen können - und auf Grund der Pflicht zur Selbstveranlagung nach Art. 37 MWSTV und der Auskunftspflicht gemäss Art. 46 MWSTV - auch selbst einreichen müssen; spätestens hätte er sie im Rahmen des Verfahrens A-1525/2006 vor dem Bundesverwaltungsgericht einlegen können. Damit handelt es sich nicht um erhebliche Tatsachen nach Art. 123 Abs. 2 Bst. a BGG, die der Beschwerdeführer nachträglich - das heisst nach dem Urteil des Bundesverwaltungsgerichts vom 28. Januar 2008 - erfahren oder aufgefunden hätte, die er im früheren Verfahren nicht hätte beibringen können (Moser/Beusch/Kneubühler, a.a.O., Rz. 5.47). Auch wenn der Beschwerdeführer diese Abschlüsse erst später aufgefunden und sie rechtzeitig eingereicht hätte, würden die Abschlüsse der X._______GmbH keinerlei Beweis dafür erbringen können, dass der Beschwerdeführer in den Jahren 1999 und 2000 nicht selbst auch noch wesentliche Umsätze getätigt hat.</w:t>
      </w:r>
    </w:p>
    <w:p>
      <w:r>
        <w:rPr>
          <w:b/>
        </w:rPr>
        <w:t>E. 3</w:t>
      </w:r>
    </w:p>
    <w:p>
      <w:r>
        <w:t>Bei diesem Verfahrensausgang werden die Verfahrenskosten in der Höhe von Fr. 3'000.-- (Art. 4 des Reglements vom 21. Februar 2008 über die Kosten und Entschädigungen vor dem Bundesverwaltungsgericht [VGKE, SR 173.320.2]) dem Beschwerdeführer auferlegt und mit dem von ihm geleisteten Kostenvorschuss von Fr. 3'000.-- verrechnet (Art. 63 Abs. 1 VwVG). Eine Parteientschädigung ist unter diesen Umständen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