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A-588/2021 vom 9. März 2023</w:t>
      </w:r>
    </w:p>
    <w:p>
      <w:r>
        <w:t>Bundesverwaltungsgericht, 2023-03-09, DE</w:t>
      </w:r>
    </w:p>
    <w:p>
      <w:r>
        <w:rPr>
          <w:b/>
        </w:rPr>
        <w:t xml:space="preserve">Quelle: </w:t>
      </w:r>
      <w:r>
        <w:t>https://mcp.opencaselaw.ch/entscheid/bvger_A-588_2021</w:t>
      </w:r>
    </w:p>
    <w:p>
      <w:r>
        <w:t>FR: TAF A-588/2021 du 9 mars 2023</w:t>
      </w:r>
    </w:p>
    <w:p>
      <w:r>
        <w:t>IT: TAF A-588/2021 del 9 marzo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Der Beschwerdeführer ist als Verfügungsadressat und Person,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1.4</w:t>
      </w:r>
    </w:p>
    <w:p>
      <w:r>
        <w:t>Betreffend den im Rahmen der Begründung gestellten Antrag des Beschwerdeführers auf Edition der vorinstanzlichen Akten ist Folgendes festzuhalten: Die Vorinstanz hat dem Bundesverwaltungsgericht mit der Vernehmlassung vom 15. Juni 2022 die gesamten dem Beschwerdeführer aufgrund seiner Akteneinsicht bei der Vorinstanz bekannten vorinstanzlichen Akten (Sachverhalt, Bst. B.c und B.m) in elektronischer Form übermittelt, wodurch sie Eingang in die Gerichtsakten gefunden haben. Der Antrag des Beschwerdeführers erweist sich daher als gegenstandslos (so bereits das Urteil des BVGer A-6507/2020 vom 10. Oktober 2022 E. 1.4.2).</w:t>
      </w:r>
    </w:p>
    <w:p>
      <w:r>
        <w:rPr>
          <w:b/>
        </w:rPr>
        <w:t>E. 2.1</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2.4.2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3.1</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3.2), welche die Frage der Zulässigkeit des vorliegenden Amtshilfeersuchens beschlagen, beschränken sich daher hauptsächlich auf eine kurze Zusammenfassung der relevanten, das Bundesverwaltungsgericht materiell bindenden, höchstrichterlichen Schlussfolgerungen.</w:t>
      </w:r>
    </w:p>
    <w:p>
      <w:r>
        <w:rPr>
          <w:b/>
        </w:rPr>
        <w:t>E. 3.2</w:t>
      </w:r>
    </w:p>
    <w:p>
      <w:r>
        <w:t>Der Beschwerdeführer bestreitet die voraussichtliche Erheblichkeit der ersuchten Informationen mangels niederländischen Bezugs. Er habe - so der Beschwerdeführer - seinen Wohnsitz schon seit dem Jahr 1999 nicht mehr in den Niederlanden, weshalb das DBA CH-NL auf ihn nicht anwendbar sei. Seit dem Jahr [...] befinde sich sein Wohnsitz in der Schweiz, wo er unbeschränkt steuerpflichtig sei. Mangels Wohnsitzes seien die Unterlagen zudem für eine Besteuerung in den Niederlanden nicht erheblich. Das Bundesverwaltungsgericht hat die voraussichtliche Erheblichkeit der vom BD ersuchten Informationen bejaht (Referenzurteil, E. 4.12 ff.; Urteil des BVGer A-6507/2020 vom 11. Oktober 2022 E. 9.3.2). In seinem Nichteintretensentscheid 2C_872/2022 vom 8. November 2022 hat das Bundesgericht ausgeführt, dass der Domizilcode in Listen, die von der Informationsinhaberin (Bank) geführt worden seien, einen hinreichenden Anknüpfungspunkt für eine potenzielle Steuerpflicht darstelle (dortige E. 4.2.2). Nach ständiger bundesgerichtlicher Rechtsprechung bildet zudem die Bestimmung der steuerrechtlichen Ansässigkeit («Steuerwohnsitz») einer betroffenen Person im internationalen Verfahren eine materiellrechtliche Frage, die vom ersuchenden ausländischen Staat zu klären ist (Urteil des BGer 2C_872/2022 vom 8. November 2022 E. 4.2.3 m.w.H.; Referenzurteil, E. 4.6; Urteil des BVGer A-6507/2020 vom 11. Oktober 2022 E. 9.3.2). Auch ist die Frage, ob ein (angeblich) unzutreffender Domizilcode als Anknüpfungspunkt für ein Verfahren der internationalen Amtshilfe dienen könne, bereits höchstrichterlich geklärt. Das trifft insbesondere auch auf den Einwand zu, die persönliche Zugehörigkeit mit der damit einhergehenden unbeschränkten Steuerpflicht bestehe nicht im Ausland, sondern in der Schweiz (ausführlich: BGE 142 II 161 E. 2.2; Urteil des BGer 2C_872/2022 vom 8. November 2022 E. 4.2.3 m.w.H.). Die ersuchende Behörde geht vorliegend gestützt auf den Domizilcode - und damit gemäss vorstehend erwähnter höchstrichterlicher Rechtsprechung aufgrund eines hinreichenden Anhaltspunktes - von einer potenziellen Steuerpflicht im Sinn von Art. 4 DBA CH-NL des Beschwerdeführers in den Niederlanden aus. Auf diese Überprüfung hat sich der ersuchte Staat im Rahmen des Amtshilfeverfahrens in der vorliegenden Konstellation, wo gleichzeitig eine unbeschränkte Steuerpflicht des Beschwerdeführers in der Schweiz geltend gemacht wird, zu beschränken (BGE 142 II 161 E. 2.2; Urteil des BGer 2C_953/2020 vom 24. November 2021 E. 3.6). Eine potenzielle Doppelbesteuerung hat der Beschwerdeführer bei den dafür zuständigen Behörden im dafür vorgesehenen sog. Verständigungsverfahren zu rügen (vgl. Art. 25 DBA CH-NL; BGE 142 II 161 E. 2.2). Somit sind auch im vorliegenden Verfahren die zu übermittelnden Informationen voraussichtlich Erheblich zur Anwendung oder Durchsetzung des niederländischen Rechts im ersuchten Zeitraum (E. 2.3.2).</w:t>
      </w:r>
    </w:p>
    <w:p>
      <w:r>
        <w:rPr>
          <w:b/>
        </w:rPr>
        <w:t>E. 4</w:t>
      </w:r>
    </w:p>
    <w:p>
      <w:r>
        <w:t>Nach dem Gesagten sind die Voraussetzungen für die in der angefochtenen Schlussverfügung vom 23. November 2020 vorgesehene Amtshilfeleistung erfüllt. Die Beschwerde erweist sich als unbegründet und ist in der Sache abzuweisen.</w:t>
      </w:r>
    </w:p>
    <w:p>
      <w:r>
        <w:rPr>
          <w:b/>
        </w:rPr>
        <w:t>E. 5</w:t>
      </w:r>
    </w:p>
    <w:p>
      <w:r>
        <w:t>Es bleibt, auf die Verfahrensanträge des Beschwerdeführers einzugehen.</w:t>
      </w:r>
    </w:p>
    <w:p>
      <w:r>
        <w:rPr>
          <w:b/>
        </w:rPr>
        <w:t>E. 5.1</w:t>
      </w:r>
    </w:p>
    <w:p>
      <w:r>
        <w:t>Der Antrag auf Geheimhaltung der Identität des Beschwerdeführers im Rahmen einer öffentlichen Parteiverhandlung oder Urteilsberatung ist gegenstandslos geworden, nachdem das Gericht keine solche Verhandlung oder Beratung durchgeführt hat.</w:t>
      </w:r>
    </w:p>
    <w:p>
      <w:r>
        <w:rPr>
          <w:b/>
        </w:rPr>
        <w:t>E. 5.2.1</w:t>
      </w:r>
    </w:p>
    <w:p>
      <w:r>
        <w:t>Was die Anonymisierung des Urteils im Rahmen einer allfälligen Publikation betrifft, gebietet die Transparenz eine möglichst weitgehende Veröffentlichung der materiellen Urteile sowie gewisser Prozessentscheide (vgl. Art. 6 des Informationsreglements vom 21. Februar 2008 für das Bundesverwaltungsgericht [SR 173.320.4; nachfolgend: Informationsreglement]; s.a. Art. 29 Abs. 1 VGG). Dabei sind der Datenschutz und der Schutz der Persönlichkeit zu beachten. Daher veröffentlicht das Bundesverwaltungsgericht seine Entscheide in der Regel in anonymisierter Form (Art. 29 Abs. 2 VGG; Art. 8 Abs. 1 Informationsreglement). Dispositiv und Rubrum werden während 30 Tagen nach der Eröffnung und nach Ablauf der Sperrfristen in nicht anonymisierter Form aufgelegt, sofern eine Anonymisierung nicht zum Schutz der Persönlichkeit oder anderer privater oder öffentlicher Interessen geboten ist (Art. 42 VGG i.V.m. Art. 4 Abs. 1 und 2 Informationsreglement). Es entspricht der Praxis des Bundesverwaltungsgerichts, im Bereich des Abgaberechts, wozu auch die internationale Amtshilfe in Steuersachen zu zählen ist, die Namen sowie weitere identifizierende Merkmale der Beschwerdeführenden und weiterer Personen bei der Publikation der Urteile sowie der öffentlichen Auflage in aller Regel zu anonymisieren (ausführlich: Urteil des BVGer A-3332/2020 vom 11. Januar 2023 E. 13.1 mit Hinweisen).</w:t>
      </w:r>
    </w:p>
    <w:p>
      <w:r>
        <w:rPr>
          <w:b/>
        </w:rPr>
        <w:t>E. 5.2.2</w:t>
      </w:r>
    </w:p>
    <w:p>
      <w:r>
        <w:t>Im vorliegenden Verfahren werden dementsprechend der Name des Beschwerdeführers sowie weitere identifizierende Merkmale vor der Publikation im Internet und der öffentlichen Auflage anonymisiert. Dieser Antrag des Beschwerdeführers ist somit gutzuheissen.</w:t>
      </w:r>
    </w:p>
    <w:p>
      <w:r>
        <w:rPr>
          <w:b/>
        </w:rPr>
        <w:t>E. 6.1</w:t>
      </w:r>
    </w:p>
    <w:p>
      <w:r>
        <w:t>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in Höhe von Fr. 5'000.- ist zur Bezahlung dieser 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