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A-5879/2020 vom 2. Juni 2022</w:t>
      </w:r>
    </w:p>
    <w:p>
      <w:r>
        <w:t>Bundesverwaltungsgericht, 2022-06-02, FR</w:t>
      </w:r>
    </w:p>
    <w:p>
      <w:r>
        <w:rPr>
          <w:b/>
        </w:rPr>
        <w:t xml:space="preserve">Quelle: </w:t>
      </w:r>
      <w:r>
        <w:t>https://mcp.opencaselaw.ch/entscheid/bvger_A-5879_2020</w:t>
      </w:r>
    </w:p>
    <w:p>
      <w:r>
        <w:t>FR: TAF A-5879/2020 du 2 juin 2022</w:t>
      </w:r>
    </w:p>
    <w:p>
      <w:r>
        <w:t>IT: TAF A-5879/2020 del 2 giugno 2022</w:t>
      </w:r>
    </w:p>
    <w:p>
      <w:pPr>
        <w:pStyle w:val="Heading2"/>
      </w:pPr>
      <w:r>
        <w:t>Regeste</w:t>
      </w:r>
    </w:p>
    <w:p>
      <w:r>
        <w:t>Assistance administrative</w:t>
      </w:r>
    </w:p>
    <w:p>
      <w:pPr>
        <w:pStyle w:val="Heading2"/>
      </w:pPr>
      <w:r>
        <w:t>Erwägungen</w:t>
      </w:r>
    </w:p>
    <w:p>
      <w:r>
        <w:rPr>
          <w:b/>
        </w:rPr>
        <w:t>E. 5.1.1</w:t>
      </w:r>
    </w:p>
    <w:p>
      <w:r>
        <w:t>Le recourant estime d'abord que la demande du 11 mai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Selon le recourant, l'autorité requérante ne disposerait d'aucun élément rendant vraisemblable que les personnes qui détenaient un compte entre 2006 et 2008 en possédaient encore un durant la période sous contrôle.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ci-avant consid. 4.2)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w:t>
      </w:r>
    </w:p>
    <w:p>
      <w:r>
        <w:rPr>
          <w:b/>
        </w:rPr>
        <w:t>E. 5.1.4</w:t>
      </w:r>
    </w:p>
    <w:p>
      <w:r>
        <w:t>Au vu de tout ce qui précède, le grief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lui,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celles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ci-avant consid. A.b). De surcroît, l'AFC précise dans les décisions finales attaquées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décisions finales de l'AFC, ch. 6.4).</w:t>
      </w:r>
    </w:p>
    <w:p>
      <w:r>
        <w:rPr>
          <w:b/>
        </w:rPr>
        <w:t>E. 5.2.3</w:t>
      </w:r>
    </w:p>
    <w:p>
      <w:r>
        <w:t>Sur la base des faits tels que décrits ci-avant, il convient d'examiner si la demande litigieuse repose sur des données volées comme le recourant l'allègue.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ci-avant consid. A.b et 5.2.2).</w:t>
      </w:r>
    </w:p>
    <w:p>
      <w:r>
        <w:rPr>
          <w:b/>
        </w:rPr>
        <w:t>E. 5.2.4</w:t>
      </w:r>
    </w:p>
    <w:p>
      <w:r>
        <w:t>Au vu de tout ce qui précède, le grief invoqué par le recourant doit être rejeté.</w:t>
      </w:r>
    </w:p>
    <w:p>
      <w:r>
        <w:rPr>
          <w:b/>
        </w:rPr>
        <w:t>E. 5.3.1</w:t>
      </w:r>
    </w:p>
    <w:p>
      <w:r>
        <w:t>Dans un troisième grief, le recourant avance que le principe de spécialité ne serait pas respecté dans le cas d'espèce. A l'appui de son grief, il argue en substance qu'il n'aurait reçu aucune garantie que ses données ne seraient pas utilisées à son encontre par les autorités pénales françaises, ce d'autant plus qu'une dénonciation par la DGFiP aux autorités de poursuite pénale serait obligatoire selon l'article L. 228 du livre (français) des procédures fiscales. Dans ce contexte, le recourant avance que la garantie du principe de spécialité formulée par l'autorité française le 2 janvier 2020 concernerait uniquement la banque UBS et non ses clients. Il sollicite dès lors de l'AFC, dans un chef de conclusions formulé à titre subsidiaire, que celle-ci obtienne de l'autorité requérante une garantie expresse en sa faveur, sans toutefois que son identité ne soit divulguée à la DGFiP.</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ci-avant consid. D).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décisions finales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UBS. Toutefois, on ne saurait déduire a contrario que l'autorité requérante entendrait violer le principe de spécialité à l'égard du recourant. En effet, ni les éléments du dossier ni les affirmations du recourant - formulées de manière hypothétique - ne prouvent, ni même n'étayent, le fait prétendu que les informations relatives au recourant pourraient être utilisées en violation du principe de spécialité. La garantie formulée par la DGFiP doit aussi être comprise à l'aune du caractère collectif de la demande qu'elle a présentée le 11 mai 2016 et concerne ainsi aussi des clients ou ex-clients de la banque UBS.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du recourant quant à une violation du principe de spécialité à son égard demeurent au stade de la conjecture toute générale. De surcroît, la Cour de céans observe qu'au ch. 3 du dispositif des décisions litigieuses,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Au vu de tout ce qui précède, le chef de conclusions subsidiaire du recourant, visant à obtenir une garantie expresse de l'autorité française quant au respect du principe de spécialité à son égard, doit être rejeté.</w:t>
      </w:r>
    </w:p>
    <w:p>
      <w:r>
        <w:rPr>
          <w:b/>
        </w:rPr>
        <w:t>E. 5.4.1</w:t>
      </w:r>
    </w:p>
    <w:p>
      <w:r>
        <w:t>En dernier lieu, il sied encore d'examiner le chef de conclusions du recourant tendant à ce qu'il soit ordonné à l'AFC de produire les pièces mentionnées dans les décisions attaquées auxquelles il n'aurait pas eu accès, à savoir la déclaration des autorités fiscales allemandes dans le cadre d'une procédure d'assistance administrative parallèle en cours et le mandat de perquisition émis par le parquet de Bochum le 3 juillet 2013.</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le recourant, il est relevé que le contenu des pièces précitées ressort explicitement des décisions attaquées. Dans la mesure où les éléments essentiels sur la base desquels l'autorité inférieure a fondé ses décisions figurent dans le dossier, il n'est pas déterminant de savoir si ces éléments figurent également dans d'autres documents qui auraient été soustraits à l'appréciation du recourant.</w:t>
      </w:r>
    </w:p>
    <w:p>
      <w:r>
        <w:rPr>
          <w:b/>
        </w:rPr>
        <w:t>E. 5.4.4</w:t>
      </w:r>
    </w:p>
    <w:p>
      <w:r>
        <w:t>Dans ces circonstances, il y a lieu de rejeter le chef de conclusions du recourant tendant à la production desdites pièces par l'AFC.</w:t>
      </w:r>
    </w:p>
    <w:p>
      <w:r>
        <w:rPr>
          <w:b/>
        </w:rPr>
        <w:t>E. 6.1</w:t>
      </w:r>
    </w:p>
    <w:p>
      <w:r>
        <w:t>Vu les considérants qui précèdent, les recours sont rejetés. Le recourant,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de 10'000 francs déjà versée. Le solde de 5'000 francs sera restitué au recourant, une fois le présent arrêt entré en force.</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