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A-5867/2007 vom 27. Oktober 2008</w:t>
      </w:r>
    </w:p>
    <w:p>
      <w:r>
        <w:t>Bundesverwaltungsgericht, 2008-10-27, DE</w:t>
      </w:r>
    </w:p>
    <w:p>
      <w:r>
        <w:rPr>
          <w:b/>
        </w:rPr>
        <w:t xml:space="preserve">Quelle: </w:t>
      </w:r>
      <w:r>
        <w:t>https://mcp.opencaselaw.ch/entscheid/bvger_A-5867_2007</w:t>
      </w:r>
    </w:p>
    <w:p>
      <w:r>
        <w:t>FR: TAF A-5867/2007 du 27 octobre 2008</w:t>
      </w:r>
    </w:p>
    <w:p>
      <w:r>
        <w:t>IT: TAF A-5867/2007 del 27 ottobre 2008</w:t>
      </w:r>
    </w:p>
    <w:p>
      <w:pPr>
        <w:pStyle w:val="Heading2"/>
      </w:pPr>
      <w:r>
        <w:t>Regeste</w:t>
      </w:r>
    </w:p>
    <w:p>
      <w:r>
        <w:t>Bahninfrastruktur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34 VGG genannten Behörden. Das BAV gehört zu den in Art. 33 VGG erwähnten Behörden. Eine Ausnahme, was das Sachgebiet angeht, ist nicht gegeben (Art. 32 VGG). Das Bundesverwaltungsgericht ist deshalb zur Beurteilung der vorliegenden Beschwerde zuständig.</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angefochtenen, sie belastenden Verfügung ohne weiteres zur Beschwerde legitimiert.</w:t>
      </w:r>
    </w:p>
    <w:p>
      <w:r>
        <w:rPr>
          <w:b/>
        </w:rPr>
        <w:t>E. 1.3</w:t>
      </w:r>
    </w:p>
    <w:p>
      <w:r>
        <w:t>Auf die form- und fristgerecht eingereichte Beschwerde (Art. 50 Abs. 1 und Art. 52 Abs. 1 VwVG) ist deshalb einzutreten.</w:t>
      </w:r>
    </w:p>
    <w:p>
      <w:r>
        <w:rPr>
          <w:b/>
        </w:rPr>
        <w:t>E. 2</w:t>
      </w:r>
    </w:p>
    <w:p>
      <w:r>
        <w:t>Die Beschwerdeführerin hält aufgrund der besonderen Situation vor Ort die Durchführung eines Augenscheins für zweckmässig, damit sich das Bundesverwaltungsgericht ein umfassendes Bild der tatsächlichen Verhältnisse machen kann.</w:t>
      </w:r>
    </w:p>
    <w:p>
      <w:r>
        <w:rPr>
          <w:b/>
        </w:rPr>
        <w:t>E. 2.1</w:t>
      </w:r>
    </w:p>
    <w:p>
      <w:r>
        <w:t>Das Bundesverwaltungsgericht stellt den Sachverhalt von Amtes wegen fest (Art. 12 VwVG) und bedient sich nötigenfalls verschiedener Beweismittel. Es nimmt die ihm angebotenen Beweise ab, wenn diese zur Abklärung des Sachverhaltes tauglich erscheinen (Art. 33 Abs. 1 VwVG). Das Bundesverwaltungsgericht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BGE 131 I 153 E. 3 sowie Alfred Kölz/Isabelle Häner, Verwaltungsverfahren und Verwaltungsrechtspflege des Bundes, 2. Aufl., Zürich 1998, Rz. 268 ff. und 320).</w:t>
      </w:r>
    </w:p>
    <w:p>
      <w:r>
        <w:rPr>
          <w:b/>
        </w:rPr>
        <w:t>E. 2.2</w:t>
      </w:r>
    </w:p>
    <w:p>
      <w:r>
        <w:t>Das Bundesverwaltungsgericht hat vorliegend ein umfangreiches Instruktionsverfahren durchgeführt. Die von den Parteien eingereichten Pläne und Fotografien vermitteln ein umfassendes und genügend klares Bild der örtlichen Gegebenheiten. Der Sachverhalt erschliesst sich damit in genügender Weise aus den Akten, weshalb sich die Durchführung eines Augenscheins zur weiteren Abklärung des entscheidwesentlichen Sachverhalts als nicht notwendig erweist. Soweit die Beschwerdeführerin ihre Anregung zur Durchführung eines Augenscheins als Beweisangebot verstanden haben will, ist deshalb in antizipierter Beweiswürdigung davon abzusehen.</w:t>
      </w:r>
    </w:p>
    <w:p>
      <w:r>
        <w:rPr>
          <w:b/>
        </w:rPr>
        <w:t>E. 3</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4</w:t>
      </w:r>
    </w:p>
    <w:p>
      <w:r>
        <w:t>Die Beschwerdeführerin beantragt, die Beschwerdegegnerinnen seien zur Leistung eines Kostenbeitrags an die Sanierung des Bahnübergangs "Station Trubschachen" zu verpflichten. Zur Begründung stützt sie sich direkt auf Art. 26 Abs. 2 EBG ab. Der Ersatz der bestehenden Sicherungsanlage beinhalte eine Anpassung und Verbesserung der Sicherheitseinrichtungen und sei durch die Entwicklung des Verkehrs bedingt.</w:t>
      </w:r>
    </w:p>
    <w:p>
      <w:r>
        <w:rPr>
          <w:b/>
        </w:rPr>
        <w:t>E. 4.1</w:t>
      </w:r>
    </w:p>
    <w:p>
      <w:r>
        <w:t>Die Frage, wie die Kosten für die erwähnte Sanierung zu verteilen sind, ist in den Artikeln 25-31 EBG geregelt. Diese finden allerdings nur insoweit Anwendung, als zwischen den Beteiligten keine abweichenden Vereinbarungen über die Kosten bestehen oder getroffen worden sind (Art. 32 EBG). Dass vorliegend keine solche vertragliche Regelung besteht, ist unter den Parteien unbestritten.</w:t>
      </w:r>
    </w:p>
    <w:p>
      <w:r>
        <w:rPr>
          <w:b/>
        </w:rPr>
        <w:t>E. 4.2</w:t>
      </w:r>
    </w:p>
    <w:p>
      <w:r>
        <w:t>Art. 25 Abs. 1 EBG sieht vor, dass der Eigentümer eines neuen Verkehrsweges die Kosten der ganzen Anlage an der Kreuzungsstelle trägt, wenn ein neues, dem öffentlichen Verkehr dienendes Bahngeleise eine öffentliche Strasse oder eine neue öffentliche Strasse die Bahn kreuzen muss. Art. 26 Abs. 1 EBG hält fest, dass die Kosten aller Änderungen an der Bahn- und Strassenanlage beim Ersatz eines Niveauübergangs durch eine Über- oder Unterführung oder bei dessen Aufhebung infolge Verlegung einer Strasse die Bahnunternehmung trägt, wenn die Änderung vorwiegend durch die Bedürfnisse des Bahnverkehrs bedingt ist. Ist die Änderung hingegen vorwiegend auf die Bedürfnisse des Strassenverkehrs zurückzuführen, so hat der Strasseneigentümer die Kosten zu tragen. Abs. 2 dieses Artikels bestimmt weiter, dass Bahnunternehmung und Strasseneigentümer die Kosten aller Änderungen der Bahn- und Strassenanlage bei allen anderen Änderungen einer Kreuzung, einschliesslich der Anpassung und Verbesserung von Sicherheitseinrichtungen, in dem Verhältnis zu tragen haben, als die Entwicklung des Verkehrs auf ihren Anlagen sie bedingt. Gemäss Art. 27 Abs. 1 EBG hat jede Partei in allen Fällen in dem Umfang an die Kosten beizutragen, als ihr aus der Umgestaltung der Anlage Vorteile erwachsen. Wenn eine Partei im Interesse der dauernden Verbesserung oder des künftigen Ausbaus ihrer eigenen Anlage besondere Begehren stellt, hat sie die daraus entstehenden Mehrkosten hingegen allein zu tragen (Art. 27 Abs. 2 EBG).</w:t>
      </w:r>
    </w:p>
    <w:p>
      <w:r>
        <w:rPr>
          <w:b/>
        </w:rPr>
        <w:t>E. 4.3</w:t>
      </w:r>
    </w:p>
    <w:p>
      <w:r>
        <w:t>Im Rahmen des Projekts "Automatisierung Gümligen-Malters" ist im Bereich der Bahnstation Trubschachen bei einem bestehenden Bahnübergang eine bestehende Barrierenanlage aus dem Jahr 1968 durch eine andere moderne Barrierenanlage ersetzt worden. Im vorliegenden Fall geht es somit weder um einen Neubau nach Art. 25 Abs. 1 EBG noch um den Ersatz oder die Aufhebung eines Niveauüberganges nach Art. 26 Abs. 1 EBG. Zu prüfen bleibt, ob - wie die Beschwerdeführerin vorbringt - die Kostentragungspflicht der Beschwerdegegnerinnen direkt oder zumindest sinngemäss auf Art. 26 Abs. 2 EBG abgestützt werden kann. Nach Art. 26 Abs. 2 EBG haben Bahnunternehmung und Strasseneigentümer die Kosten aller anderen (nicht nach Abs. 1 zu beurteilenden) Änderungen einer Kreuzung, einschliesslich der Anpassung und Verbesserung von Sicherheitseinrichtungen, in dem Verhältnis zu tragen, als die Entwicklung des Verkehrs auf ihren Anlagen sie bedingt. Bei der Kostenverteilung kommt es demnach darauf an, wie die beiden Verkehrsträger zur Notwendigkeit der Änderung beigetragen haben (Botschaft zum Entwurf eines Eisenbahngesetzes vom 3. Februar 1956, BBl 1956 I 249; BGE 94 569 E. 3). Beim Bahnübergang Trubschachen wurde eine bestehende Sicherheitseinrichtung an neue Bedürfnisse des Eisenbahnverkehrs angepasst. Nebst der Anpassung der Technik (Steuerung und Antrieb) wurde eine neue Wechselblinkanlage installiert, weil die bisherige zu den Steuerungselementen nicht mehr kompatibel war. Am Bahnübergang wurden somit nur bahnseitige Bauarbeiten vorgenommen, die die Automatisierung der oben erwähnten Bahnlinie erst ermöglichten. Sie sind das Ergebnis einer vermehrten Benutzung des Schienenverkehrs oder ebnen einer solchen den Weg. Die Ursache der Erneuerung ist deshalb nur im Bahnbetrieb, im Wunsch nach einer rationelleren Abwicklung des Eisenbahnverkehrs zu suchen. Ob Art. 26 Abs. 2 EBG vorliegend deshalb direkt zur Anwendung kommen soll, kann offen bleiben. Art. 29 EBG hält fest, dass die Art. 25-28 EBG auf die Kosten für Unterhalt und Erneuerung sowie für alle vorübergehenden und dauernden Massnahmen zur Verhütung von Unfällen an einer Kreuzungsstelle mit Einschluss der Bedienung der dazu bestimmten Anlagen sinngemäss Anwendung finden. Geht man davon aus, dass die Barrierenanlage bei der Station Trubschachen nicht nur geändert, sondern auch erneuert wurde, was von keiner der Parteien bestritten wird, so ist gestützt auf Art. 29 EBG zumindest von einer sinngemässen Anwendung von Art. 26 Abs. 2 EBG auszugehen.</w:t>
      </w:r>
    </w:p>
    <w:p>
      <w:r>
        <w:rPr>
          <w:b/>
        </w:rPr>
        <w:t>E. 5</w:t>
      </w:r>
    </w:p>
    <w:p>
      <w:r>
        <w:t>Die Beschwerdegegnerin 1 macht geltend, bei der den Bahnübergang kreuzenden Strasse handle es sich um eine private Strasse, weshalb keine Rechtsgrundlage dafür bestehe, ihr einen Kostenanteil aufzuerlegen. Die Beschwerdegegnerin 2 bezweifelt ebenfalls den öffentlichen Charakter der über die Bahnlinie führenden Strasse. Sie habe sich seit jeher am Unterhalt und an der Reinigung der Strasse beteiligt, was bei einer öffentlichen Strasse Sache der Beschwerdegegnerin 1 wäre.</w:t>
      </w:r>
    </w:p>
    <w:p>
      <w:r>
        <w:rPr>
          <w:b/>
        </w:rPr>
        <w:t>E. 5.1</w:t>
      </w:r>
    </w:p>
    <w:p>
      <w:r>
        <w:t>In den Randtiteln der Art. 25 und 26 EBG wie auch im Text des Art. 25 EBG ist nur von Kreuzungen zwischen Bahnen und öffentlichen, nicht jedoch privaten Strassen die Rede. Die privaten Strassen werden zwar in Art. 28 EBG erwähnt. Diese Vorschrift befasst sich gemäss ihrem Wortlaut jedoch nur mit der Kreuzung einer Bahn durch eine neue solche Strasse und erklärt Art. 25 EBG als entsprechend anwendbar. Das Eisenbahngesetz enthält dagegen keine ausdrückliche Bestimmung über die Kostentragung bei der Änderung bestehender Kreuzungen zwischen Bahnen und privaten Strassen. Ob ein solcher Fall überhaupt nach dem EBG zu beurteilen ist, hat das Bundesgericht bis anhin offen gelassen (BGE 94 I 569 E. 1). Diese Frage muss vorliegend ebenfalls nicht beantwortet werden, wenn sich ergibt, dass die bei der Station Trubschachen über die Bahnlinie führende Strasse als öffentliche Strasse im Sinne des EBG zu qualifizieren ist.</w:t>
      </w:r>
    </w:p>
    <w:p>
      <w:r>
        <w:rPr>
          <w:b/>
        </w:rPr>
        <w:t>E. 5.2</w:t>
      </w:r>
    </w:p>
    <w:p>
      <w:r>
        <w:t>Das Bundesgericht hat sich in BGE 94 I 569 E. 2 dazu geäussert, wie der Begriff der öffentlichen Strasse gemäss EBG zu verstehen ist. Es hat ausgeführt, das Eisenbahngesetz äussere sich in Art. 25 und 26 nicht, was unter öffentlichen Strassen zu verstehen sei. Deutlicher sei in dieser Beziehung der vorhergehende Art. 24. Nach dessen Abs. 1 bedürften neue Kreuzungen sowie die Änderung oder Verlegung bestehender Kreuzungen zwischen Bahnen und öffentlichen oder privaten Strassen und Wegen der Genehmigung der Aufsichtsbehörde. Nach Abs. 2 müsse die Genehmigung für Kreuzungen mit "öffentlichen, dem Gemeingebrauch gewidmeten Strassen" unter bestimmten Voraussetzungen erteilt werden. Mit den Worten "dem Gemeingebrauch gewidmet" werde der Begriff der öffentlichen Strasse im Sinne des Eisenbahngesetzes näher gekennzeichnet. An allen Stellen, wo in den Art. 24-26 von öffentlichen Strassen die Rede sei, habe dieser Begriff die gleiche Bedeutung, obwohl jene verdeutlichenden Worte nur in Art. 24 Abs. 2 stünden und in den nachfolgenden Bestimmungen nicht wiederholt würden. Das Bundesgericht hat im erwähnten Entscheid weiter festgehalten, das Eisenbahngesetz wolle in den Bestimmungen über Kreuzungen zwischen Bahnen und öffentlichen Strassen der Tatsache Rechnung tragen, dass sich auf solchen Kreuzungen zwei Träger des öffentlichen Verkehrs begegneten und dadurch besondere Unfallgefahren entstehen könnten. Diese Bestimmungen gingen davon aus, dass die den Schienenweg kreuzende Strasse tatsächlich dem öffentlichen Verkehr diene, der Allgemeinheit offenstehe. Sie liessen diese Tatsache genügen, weil sie an der Kreuzungsstelle zu häufigen und schweren Unfällen führen könne, die das Eisenbahngesetz just verhüten wolle. Auch die Bundesgesetzgebung über den Strassenverkehr, die ebenfalls die Sicherheit des Verkehrs auf öffentlichen Strassen gewährleisten solle, verstehe unter öffentlichen Strassen diejenigen, die tatsächlich dem allgemeinen Verkehr dienten (Art. 1 des Strassenverkehrsgesetzes vom 19. Dezember 1958 [SVG, SR 741.01], Art. 1 Abs. 2 der Verkehrsregelnverordnung vom 13. November 1962 [VRV; SR 741.11]). Es entspreche dem Sinn und Zweck der Art. 24 ff. EBG, dem dort verwendeten Begriff der öffentlichen Strasse die gleiche Bedeutung beizumessen. Die in Art. 24 Abs. 2 EBG gebrauchten Worte "dem Gemeingebrauch gewidmet" würden nicht zu einer anderen Auslegung zwingen. Sie besagten insbesondere nicht, dass ein Verwaltungsakt, durch den die Strasse dem Gemeingebrauch gewidmet worden sei, oder ein den Widmungsakt ersetzender öffentlicher Gebrauch seit unvordenklicher Zeit erforderlich sei, sondern eben nur, dass die Strasse tatsächlich der Allgemeinheit dienen, ihr zugänglich sein müsse. Das Bundesverwaltungsgericht hat keine Veranlassung, den Begriff der öffentlichen Strasse gemäss EBG anders auszulegen. Nachfolgend ist deshalb nur zu prüfen, ob die den Bahnübergang kreuzende Strasse tatsächlich der Allgemeinheit dient, wobei auf den heutigen Sachverhalt bzw. die Situation im Zeitpunkt der vorliegend vorgenommenen Sanierung abzustellen ist (KÖLZ/HÄNER, a.a.O., Rz. 692). Unerheblich erscheint dagegen, ob der bestehende Weg ursprünglich im Zeitpunkt der Erstellung des Bahnübergangs öffentlich oder privat war.</w:t>
      </w:r>
    </w:p>
    <w:p>
      <w:r>
        <w:rPr>
          <w:b/>
        </w:rPr>
        <w:t>E. 5.3</w:t>
      </w:r>
    </w:p>
    <w:p>
      <w:r>
        <w:t>In einem bei den Akten liegenden Vertrag aus dem Jahre 1994 zwischen der privaten Beschwerdegegnerin 2 und der Gemeinde (Beschwerdegegnerin 1) ist die Einräumung einer Dienstbarkeit für die Benutzung von 12 auf der Parzelle Nr. 126 liegenden Parkplätzen sowie eines Wegrechts für Fussgänger und Velofahrer zwischen der Hasenlehnmatte und dem Bahnübergang vereinbart worden. Aus den Akten geht weiter hervor, dass der Parkplatz auf der im Eigentum der Beschwerdegegnerin 2 liegenden Parzelle Nr. 126 nicht nur von deren Mitarbeitenden, sondern teilweise auch von der Öffentlichkeit benutzt wird, namentlich als Ausgangspunkt für Spaziergänger. Zudem ist die über die Bahnlinie führende Strasse gemäss Signalisation und einem kantonalen Richtplan des Wanderroutennetzes Teil des Wanderwegnetzes.</w:t>
      </w:r>
    </w:p>
    <w:p>
      <w:r>
        <w:rPr>
          <w:b/>
        </w:rPr>
        <w:t>E. 5.4</w:t>
      </w:r>
    </w:p>
    <w:p>
      <w:r>
        <w:t>Aus den Akten ist demnach ersichtlich, dass die bei der Station Trubschachen über die Bahnlinie führende Strasse der Allgemeinheit dient bzw. ihr zugänglich ist. Wie die Vorinstanz in ihrer Verfügung vom 4. Juli 2007 zu Recht festgehalten hat, ist sie damit als öffentlich im Sinne des EBG zu qualifizieren. Daran ändert auch die Tatsache nichts, dass sich die Beschwerdegegnerin 2 am Unterhalt und an der Reinigung der Strasse beteiligt. Einer (zumindest sinngemässen) Anwendung von Art. 26 Abs. 2 EBG auf den vorliegenden Sachverhalt steht damit nichts im Wege.</w:t>
      </w:r>
    </w:p>
    <w:p>
      <w:r>
        <w:rPr>
          <w:b/>
        </w:rPr>
        <w:t>E. 6</w:t>
      </w:r>
    </w:p>
    <w:p>
      <w:r>
        <w:t>Die Beschwerdeführerin ist der Ansicht, für die Verteilung der Kosten der nun vorgenommenen Sanierung des Bahnübergangs sei nicht nur auf die Veränderungen seit der letzten Erneuerung im Jahr 1968 abzustellen. Gestützt auf das Verursacherprinzip seien für die Kostenverteilung vielmehr sämtliche seit der Erstellung einer Kreuzungsanlage eingetretenen Veränderungen zu berücksichtigen, also auch solche, die weiter zurücklägen als die letzte Erneuerung. Die Beschwerdegegnerin 2 sei wegen früher vorgenommenen Änderungen an der Kreuzungsanlage als Mitverursacherin der nun vorgenommenen Anpassung und Verbesserung der Sicherheitseinrichtungen am Bahnübergang zu betrachten und an den hierbei entstandenen Kosten zu beteiligen. Bezüglich der Beschwerdegegnerin 1 sei zunächst zu beachten, dass sie Verursacherin der ursprünglichen Kreuzungsstelle zwischen öffentlicher Strasse und Bahn sei, weil anfänglich lediglich eine private Zufahrt bestanden und sie verlangt habe, dass der Übergang öffentlich erklärt werde. Selbst wenn die Beschwerdeführerin als Verursacherin der ursprünglichen Kreuzungsstelle zu betrachten sei, sei die Beschwerdegegnerin 1 als Mitverursacherin der seither vorgenommenen Anpassungen und Änderungen an den Kosten der nun vorgenommenen Sanierung zu beteiligen.</w:t>
      </w:r>
    </w:p>
    <w:p>
      <w:r>
        <w:rPr>
          <w:b/>
        </w:rPr>
        <w:t>E. 6.1</w:t>
      </w:r>
    </w:p>
    <w:p>
      <w:r>
        <w:t>Den Artikeln 25-28 EBG liegen die Prinzipien der Ebenbürtigkeit der Verkehrswege, der Verursachung und der Vorteilsanrechnung zu Grunde. Nach dem Ebenbürtigkeitsprinzip sind die öffentlichen Verkehrswege einander gleichgestellt und die Kosten nicht zum Vornherein einer Seite aufzubürden. Aus der grundsätzlichen Ebenbürtigkeit der öffentlichen Verkehrswege ergibt sich als zweiter Grundsatz das eisenbahnrechtliche Verursacherprinzip, wonach diejenige Partei, die eine Veränderung des bestehenden Zustandes auslöst, die daraus herrührenden Kosten zu tragen hat. Nach dem Prinzip der Vorteilsanrechnung sodann soll derjenige, der die Umgestaltung einer Kreuzungsanlage verursacht, von der Finanzierung der Umgestaltung soweit befreit werden, als der Nichtverursacher daraus Vorteile zieht. Bei Berücksichtigung dieser Prinzipien bleibt an sich unerheblich, wo - bei der Bahn oder bei der anderen Anlage - die Änderung konkret anfällt. Der Eigentümerstellung kommt ebenfalls bloss untergeordnete Bedeutung zu (vgl. zum Ganzen Urteil 2A.80/1999 des Bundesgerichts vom 5. Januar 2000, E. 4c; Botschaft zum Entwurf eines Eisenbahngesetzes vom 3. Februar 1956, BBl 1956 I 247 ff.; Enrico Riva, Kostentragung für den Unterhalt und die Erneuerung von Kreuzungsbauwerken Schiene-Strasse, Schweizerisches Zentralblatt für Staats- und Verwaltungsrecht [ZBl] 94/1993, S. 333 ff., insbesondere S. 335-340). Wie das Bundesgericht zudem in BGE 126 II 54 festgehalten hat, hat der Gesetzgeber im EBG bezüglich der Kostentragungspflicht Regeln aufgestellt, welche auf die Offenkundigkeit abstellen (BGE 126 II 54 E. 5).</w:t>
      </w:r>
    </w:p>
    <w:p>
      <w:r>
        <w:rPr>
          <w:b/>
        </w:rPr>
        <w:t>E. 6.2</w:t>
      </w:r>
    </w:p>
    <w:p>
      <w:r>
        <w:t>Demnach hat der Verursacher einer Änderung in einem ersten Schritt grundsätzlich die gesamten Kosten der Änderung zu übernehmen. Erst im Rahmen der Vorteilsanrechnung nach Art. 27 EBG wird anschliessend in einem zweiten Schritt geprüft, ob die Partei, welche nicht Verursacherin dieser Änderung bzw. Erneuerung ist, an den Kosten zu beteiligen ist, weil ihr aus der Umgestaltung der Anlage Vorteile erwachsen. Den vor der letzten Änderung allenfalls vorgenommenen Veränderungen an der Kreuzungsanlage ist entsprechend dem Offenkundigkeitsprinzip erst bei diesem zweiten Schritt Rechnung zu tragen und nicht - wie von der Beschwerdeführerin vorgebracht - bei der sich zuerst stellenden Frage, wer als Verursacher der jüngsten Änderung gilt (vgl. nachfolgend E. 8).</w:t>
      </w:r>
    </w:p>
    <w:p>
      <w:r>
        <w:rPr>
          <w:b/>
        </w:rPr>
        <w:t>E. 7</w:t>
      </w:r>
    </w:p>
    <w:p>
      <w:r>
        <w:t>Wie vorne erwähnt war die Änderung am Bahnübergang "Station Trubschachen" alleine durch die Bedürfnisse des Eisenbahnverkehrs bedingt. Dies gilt auch für den Ersatz der Wechselblinkanlage. So wurde diese ersetzt, weil deren alte Steuerung nicht mit der Automatisierung des Bahnübergangs kompatibel war. Ursache des Ersatzes der Wechselblinkanlage war somit ebenfalls einzig das Automatisierungsprojekt der Bahn. Daran ändert auch der Umstand nichts, dass die Wechselblinkanlage gleichzeitig optisch aufgewertet wurde. Die Beschwerdeführerin hat daher grundsätzlich für die gesamten Kosten der an der Kreuzungsanlage vorgenommenen Änderungen aufzukommen. Zu prüfen bleibt, ob die Beschwerdegegnerinnen über die Vorteilsanrechnung an den Sanierungskosten zu beteiligen sind.</w:t>
      </w:r>
    </w:p>
    <w:p>
      <w:r>
        <w:rPr>
          <w:b/>
        </w:rPr>
        <w:t>E. 8</w:t>
      </w:r>
    </w:p>
    <w:p>
      <w:r>
        <w:t>Die Beschwerdeführerin ist der Ansicht, dass die seit Entstehung der Kreuzungsstelle vorgenommenen und eingetretenen Änderungen zumindest im Rahmen der Vorteilsanrechnung zu berücksichtigen seien. In der Vergangenheit manifestierte Vorteile und Anpassungen fänden ihre Fortsetzung bei künftigen Erneuerungen, weshalb sich der Vorteilsempfänger solcher in der Vergangenheit vorgenommener Änderungen auch an der Weiterverlängerung seines Nutzens angemessen zu beteiligen habe. Die Vorinstanz hat in ihrer Verfügung vom 4. Juli 2007 einen Vorteil, welcher den Beschwerdegegnerinnen anzurechnen wäre, verneint. Die Erneuerung bringe keine zusätzliche Sicherheit mit sich, sondern diene nur deren Aufrechterhaltung. Die Automatisierung der Barrierenanlage sei ebenfalls nicht als Vorteil für die Strasse und ihre Benützer zu werten. In ihrer Duplik hat die Vorinstanz zudem ausgeführt, dass die Erneuerung einer Schrankenanlage nach ihrer Praxis nur dann einen Vorteil nach Art. 27 Abs. 1 EBG darstelle, wenn an der Strasse gleichzeitig Belagsänderungen vorgenommen würden. Die Beschwerdegegnerin 1 behauptet, nie einen Beitrag an den Ausbau oder die Sanierung des Bahnübergangs geleistet zu haben. Sie könne auch heute nicht zur Kostenpflicht herangezogen werden. Die Beschwerdegegnerin 2 hält fest, sie habe zwar im Jahre 1988 sämtliche Mehrkosten für den Umbau des Übergangs übernommen, für die Einforderung eines Beitrags für die nun vorgenommene Sanierung bestehe jedoch keine Rechtsgrundlage.</w:t>
      </w:r>
    </w:p>
    <w:p>
      <w:r>
        <w:rPr>
          <w:b/>
        </w:rPr>
        <w:t>E. 8.1</w:t>
      </w:r>
    </w:p>
    <w:p>
      <w:r>
        <w:t>Nach Art. 27 Abs. 1 EBG hat in allen Fällen jede Partei in dem Umfang an die Kosten beizutragen, als ihr aus der Umgestaltung der Anlage Vorteile erwachsen. Zur Frage, was im Zusammenhang mit der Erneuerung einer Kreuzungsanlage unter "Vorteil" im Sinne von Art. 27 Abs. 1 EBG zu verstehen ist, hat sich das Bundesgericht - soweit ersichtlich - bis anhin nie geäussert. Die ehemalige Rekurskommission des Eidgenössischen Departements für Umwelt, Verkehr, Energie und Kommunikation (REKO UVEK) hat in E. 7.3.2 ihres Entscheids A-2000-33 vom 5. April 2001 dazu Folgendes festgehalten: "Wenn auch die Parteien keinen zusätzlichen Vorteil aus der Erneuerung ziehen, so muss die Erhaltung des Ist-Zustandes auf längere Zeit hinaus als Vorteil gewertet werden. Ohne Erneuerung hätten die Parteien über kurz oder lang etwas verloren (...). Die Vorteile, die Art. 27 Abs. 1 EBG nennt und die einzubeziehen sind, sind künftige, wobei dazu auch diejenigen gehören, die [vor der Erneuerung] gegeben waren und weiter bestehen."</w:t>
      </w:r>
    </w:p>
    <w:p>
      <w:r>
        <w:rPr>
          <w:b/>
        </w:rPr>
        <w:t>E. 8.2</w:t>
      </w:r>
    </w:p>
    <w:p>
      <w:r>
        <w:t>Wendet man diese Rechtsprechung auf den vorliegenden Fall an, so greift die Ansicht der Vorinstanz, es sei nie von einem strassenseitigen Vorteil auszugehen, wenn bei der Erneuerung einer Schrankenanlage keine Belagsarbeiten an der Strasse durchgeführt werden, zu kurz. Sowohl die Beschwerdegegnerin 1 als auch die Beschwerdegegnerin 2 haben in der Vergangenheit Ursachen gesetzt, welche Anpassungen am Bahnübergang bedingt oder die Bedeutung des Bahnübergangs für sie erhöht haben. So wurde im Jahre 1988 der Bahnübergang im Zusammenhang mit der Erstellung von 104 Autoabstellplätzen auf der Parzelle Nr. 126 durch die Beschwerdegegnerin 2 an den dadurch entstandenen Mehrverkehr angepasst. Der Übergang wurde verbreitert und durch den Einbau von Vanoplatten verstärkt. Die diesbezüglichen Kosten von Fr. 78'000.-- hat die Beschwerdegegnerin 2 übernommen. Einer Vereinbarung zwischen der Beschwerdegegnerin 1 und der Beschwerdeführerin aus dem Jahre 1909 ist weiter zu entnehmen, dass der Übergang "Station Trubschachen" damals auf Gesuch der Gemeinde Trubschachen hin für öffentlich erklärt worden ist. Die Öffentlicherklärung zog den Ersatz der damals bestehenden Schranken durch neue, verdichtete und gekuppelte Zugschranken nach sich, woran sich die Gemeinde mit Fr. 700.-- beteiligte. Diese zwischen der Beschwerdegegnerin 1 und der Beschwerdeführerin getroffene Vereinbarung machte es möglich, dass der Bahnübergang später und bis heute von der Öffentlichkeit als Ausgangspunkt diverser Wanderwege benutzt wird. Im Jahre 1994 wurde das sich bisher in der Landwirtschaftszone befindliche Gebiet "untere Säge" im Rahmen der Ortsplanrevision zudem neu in die Gewerbezone eingeteilt. Gleichzeitig liess sich die Beschwerdegegnerin 1 von der Beschwerdegegnerin 2 eine Dienstbarkeit für die Benutzung von zwölf sich auf der Parzelle Nr. 126 befindlichen Parkplätzen sowie ein Wegrecht für Fussgänger und und Velofahrer über Parzelle Nr. 126 einräumen. Die zwölf Parkplätze stehen gemäss Aussage der Beschwerdeführerin, welche von der Beschwerdegegnerin 1 nicht bestrittenen wird, der Allgemeinheit bzw. Öffentlichkeit zur Verfügung. Bezieht man in Übereinstimmung mit der zitierten Rechtsprechung auch die von den Beschwerdegegnerinnen in der Vergangenheit verursachten Änderungen an der Kreuzungsanlage und die ihnen dadurch entstandenen Vorteile in die Überlegungen mit ein, wird klar, dass die Beschwerdegegnerinnen aus der jüngsten Anpassung der Anlage zwar keinen zusätzlichen Vorteil ziehen. Die neue Barrierenanlage bringt im Vergleich zur bestehenden keine Erhöhung der Sicherheit für die Benutzerinnen und Benutzer des Übergangs mit sich. Die Beschwerdegegnerinnen profitieren davon jedoch insofern, als damit der Ist-Zustand erhalten wird. Unabhängig davon, ob die ordentliche Lebensdauer der bestehenden Barrierenanlage, wie die Beschwerdeführerin geltend macht, bereits abgelaufen ist oder nicht, hätten die Barrieren in naher Zukunft ohnehin ersetzt werden müssen. Mit 30 Jahren hat sie die für eine Barrierenanlage üblicherweise angenommene Lebensdauer von 25 Jahren immerhin bereits überschritten. Die Erhaltung dieses Ist-Zustandes ist für die Beschwerdegegnerinnen als Vorteil im Sinne von Art. 27 Abs. 1 EBG zu werten. Im Umfang dieses Vorteils haben sie sich deshalb an den Kosten für die nun vorgenommene Erneuerung des Bahnübergangs zu beteiligen.</w:t>
      </w:r>
    </w:p>
    <w:p>
      <w:r>
        <w:rPr>
          <w:b/>
        </w:rPr>
        <w:t>E. 9</w:t>
      </w:r>
    </w:p>
    <w:p>
      <w:r>
        <w:t>Die Beschwerdeführerin ist der Meinung, die Berücksichtigung des soeben erwähnten Vorteils führe zu einer hälftigen Übernahme der Sanierungskosten durch die Beschwerdegegnerinnen.</w:t>
      </w:r>
    </w:p>
    <w:p>
      <w:r>
        <w:rPr>
          <w:b/>
        </w:rPr>
        <w:t>E. 9.1</w:t>
      </w:r>
    </w:p>
    <w:p>
      <w:r>
        <w:t>Bei der Bestimmung des jeweiligen Vorteils ist davon auszugehen, dass das hauptsächliche Interesse an der Erstellung oder Änderung einer Kreuzungsanlage in der Regel beim Inhaber der Bauherrschaft liegt. Als Bauherr wird regelmässig derjenige aktiv, der ein Interesse an der Ausführung eines Bauprojekts hat. In dessen Bereich liegt üblicherweise die Ursache für eine bauliche Änderung, weshalb er den hauptsächlichen Nutzen bzw. Vorteil daraus zieht. Schliesslich bestimmt der Bauherr auch den wesentlichen Umfang des Projekts und damit das Ausmass der Kosten (vgl. Urteil 2A.80/1999 des Bundesgerichts vom 5. Januar 2000, E. 4d).</w:t>
      </w:r>
    </w:p>
    <w:p>
      <w:r>
        <w:rPr>
          <w:b/>
        </w:rPr>
        <w:t>E. 9.2</w:t>
      </w:r>
    </w:p>
    <w:p>
      <w:r>
        <w:t>Wie bereits vorne erwähnt, ist die Beschwerdeführerin vorliegend als Verursacherin der Erneuerung bzw. Änderung der Barrierenanlage bei der Station Trubschachen anzusehen. Sie hatte auch die Bauherrschaft inne und hat den Umfang des Projekts und damit das Ausmass der Kosten alleine bestimmt. Ein vorgängiger Einbezug der Beschwerdegegnerinnen ins Projekt ist nicht erfolgt. Vor diesem Hintergrund erscheint eine hälftige Kostenbeteiligung für die Strassenseite nicht angemessen. Wäre die Barrierenanlage bei der Station Trubschachen nicht ersetzt worden, wäre sie mit der neuen Steuerung der Bahnlinie "Gümligen-Malters" nicht mehr kompatibel gewesen. Der Hauptvorteil der Sanierung ist deshalb der Beschwerdeführerin zuzurechnen. Der ihr zuzurechnende Vorteil ist mit drei Vierteln zu gewichten, weshalb es gerechtfertigt erscheint, dass sie drei Viertel der eigentlichen Sanierungskosten zu tragen hat. Der der Strassenseite anzurechnende Vorteil ist folglich mit einem Viertel zu gewichten. Damit erscheint eine Kostenbeteiligung der Beschwerdegegnerinnen im Umfang von insgesamt einem Viertel der eigentlichen Sanierungskosten angemessen. Angesichts der in der Vergangenheit von ihr verursachten Anpassungen an der Kreuzungsanlage (vgl. E. 8.2 hiervor) hat die Beschwerdegegnerin 2 den grösseren Teil (zwei Drittel) und die Beschwerdegegnerin 1 den kleineren Teil (ein Drittel) dieses Viertels zu übernehmen.</w:t>
      </w:r>
    </w:p>
    <w:p>
      <w:r>
        <w:rPr>
          <w:b/>
        </w:rPr>
        <w:t>E. 9.3</w:t>
      </w:r>
    </w:p>
    <w:p>
      <w:r>
        <w:t>Daraus ergibt sich für die Tragung der Sanierungskosten des Bahnübergangs "Station" folgender Verteilschlüssel: 9/12 für die Beschwerdeführerin, 2/12 für die Beschwerdegegnerin 2, 1/12 für die Beschwerdegegnerin 1.</w:t>
      </w:r>
    </w:p>
    <w:p>
      <w:r>
        <w:rPr>
          <w:b/>
        </w:rPr>
        <w:t>E. 10</w:t>
      </w:r>
    </w:p>
    <w:p>
      <w:r>
        <w:t>Umstritten ist schliesslich der Rechnungsbetrag, welcher der Kostenverteilung zu Grunde zu legen ist. Die Beschwerdeführerin macht geltend, dem Bahnübergang "Station" seien Sanierungskosten in der Höhe von Fr. 143'572.-- anzurechnen. Dieser Betrag setze sich aus den Erstellungskosten, einer zusätzlichen Unterhaltspauschale von 25% sowie aus der auf den Gesamtbetrag hinzugerechneten Mehrwertsteuer zusammen. Die Beschwerdegegnerinnen bezweifeln die Korrektheit dieser Kostenzusammenstellung und des für die Sanierung des Übergangs "Station Trubschachen" angegebenen Gesamtbetrags. Die Beschwerdegegnerin 2 macht insbesondere geltend, für die Aufrechnung eines Unterhaltszuschlags von 25% bzw. dessen Überwälzung auf die Beschwerdegegnerinnen bestehe keine rechtliche Grundlage.</w:t>
      </w:r>
    </w:p>
    <w:p>
      <w:r>
        <w:rPr>
          <w:b/>
        </w:rPr>
        <w:t>E. 10.1</w:t>
      </w:r>
    </w:p>
    <w:p>
      <w:r>
        <w:t>Die Beschwerdeführerin hat zusammen mit der Replik eine Projektabrechnung eingereicht, die für den Übergang "Station" Sanierungskosten in der Höhe von Fr. 106'745.-- ausweist. Die Vorinstanz hat diese Abrechnung für plausibel erklärt. Es besteht für das Bundesverwaltungsgericht kein Grund, an dieser Einschätzung der Vorinstanz zu zweifeln, zumal die Beschwerdegegnerinnen keine substantiierte Kritik dagegen vorgebracht haben und die Kosten für den Ersatz einer solchen Barrierenanlage ansonsten unbestrittenermassen bei Fr. 400'000.-- bis Fr. 500'000.-- und damit deutlich höher liegen.</w:t>
      </w:r>
    </w:p>
    <w:p>
      <w:r>
        <w:rPr>
          <w:b/>
        </w:rPr>
        <w:t>E. 10.2</w:t>
      </w:r>
    </w:p>
    <w:p>
      <w:r>
        <w:t>Für die Hinzurechnung einer Unterhaltspauschale von 25% stützt sich die Beschwerdeführerin einerseits auf eine aufgehobene Verordnung über die Signalisierung von Bahnübergängen aus dem Jahre 1975 und andererseits auf Art. 8 Abs. 1 der zum Zeitpunkt des Erlasses der angefochtenen Verfügung noch in Kraft stehenden Verkehrstrennungsverordnung vom 6. November 1991 (Verkehrstrennungsverordnung, AS 1991 2404). Währenddem die zum Zeitpunkt des Erlasses der Verfügung aufgehobene Verordnung von vornherein nicht als rechtliche Grundlage für eine Unterhaltspauschale in Frage kommen kann, erscheint vorliegend auch die Anwendung der Verkehrstrennungsverordnung nicht gerechtfertigt. Diese regelte Beiträge, die der Bund an die Aufhebung oder Sicherung von Niveauübergängen und an andere Massnahmen zur Trennung von öffentlichem und privatem Verkehr leistete (vgl. Art. 1 Verkehrstrennungsverordnung). Die Frage nach der Zulässigkeit einer Unterhaltspauschale im Zusammenhang mit der Kostenverteilung bei der Änderung von Kreuzungsanlagen zwischen Bahn und Strasse fiel hingegen nicht in den Geltungsbereich dieser Verordnung. Für die Hinzurechnung einer prozentualen Unterhaltspauschale bieten die von der Beschwerdeführerin zitierten Verordnungen folglich keine Grundlage, weshalb von dem Übergang "Station" zuzurechnenden Sanierungskosten von Fr. 114'858.-- (Fr. 106'745.-- plus Mehrwertsteuer) auszugehen ist. Die Vorinstanz hat mit Verfügung vom 4. Juli 2007 nur über die Verteilung der Kosten der jetzigen Änderung bzw. Erneuerung der Barrierenanlage, nicht jedoch über zukünftig beim Bahnübergang "Station Trubschachen" entstehende Unterhaltskosten entschieden. Diese Kosten liegen vorliegend deshalb nicht im Streit. Sofern sich die Parteien in Zukunft über deren Verteilung nicht gütlich einigen können, werden sie in Anwendung von Art. 29 i.V.m. Art. 25-28 EBG zu regeln sein.</w:t>
      </w:r>
    </w:p>
    <w:p>
      <w:r>
        <w:rPr>
          <w:b/>
        </w:rPr>
        <w:t>E. 11</w:t>
      </w:r>
    </w:p>
    <w:p>
      <w:r>
        <w:t>Nach dem in E. 9.3 hiervor festgelegten Verteilschlüssel haben die beiden Beschwerdegegnerinnen demnach folgende Beiträge an die Erneuerung der Barrierenanlage zu leisten: Fr. 9'572.-- (inkl. Mehrwertsteuer) für die Beschwerdegegnerin 1; Fr. 19'143.-- (inkl. Mehrwertsteuer) für die Beschwerdegegnerin 2.</w:t>
      </w:r>
    </w:p>
    <w:p>
      <w:r>
        <w:rPr>
          <w:b/>
        </w:rPr>
        <w:t>E. 12</w:t>
      </w:r>
    </w:p>
    <w:p>
      <w:r>
        <w:t>Die Beschwerdeführerin stellt in ihrem Hauptantrag das Begehren, die beiden Beschwerdegegnerinnen seien unter Solidarhaftung zur Kostenbeteiligung zu verpflichten. Für eine Solidarhaftung zwischen mehreren Vorteilsempfängern kann jedoch - wie die Beschwerdegegnerinnen zu Recht vorbringen - weder dem EBG noch dem übrigen Bundesrecht eine rechtliche Grundlage entnommen werden. Entsprechend dem Eventualantrag der Beschwerdeführerin sind die beiden Beschwerdegegnerinnen deshalb einzeln zur Bezahlung der erwähnten Beiträge zu verpflichten. Insofern ist die Beschwerde teilweise gutzuheissen und die Verfügung der Vorinstanz vom 4. Juli 2007 aufzuheben.</w:t>
      </w:r>
    </w:p>
    <w:p>
      <w:r>
        <w:rPr>
          <w:b/>
        </w:rPr>
        <w:t>E. 13</w:t>
      </w:r>
    </w:p>
    <w:p>
      <w:r>
        <w:t>Die Vorinstanz hat der Beschwerdeführerin gestützt auf Art. 43 der Verordnung über die Gebühren und Abgaben im Aufgabenbereich des Bundesamtes für Verkehr (Gebührenverordnung BAV, SR 742.102) i.V.m Art. 1 ff. der Verordnung über Kosten und Entschädigungen im Verwaltungsverfahren (Kostenverordnung, SR 172.041.0) für das vorinstanzliche Verfahren Kosten in der Höhe von Fr. 880.-- auferlegt. Die Beschwerdeführerin verlangt die Aufhebung der Verfügung der Vorinstanz und dringt mit diesem Begehren teilweise durch, weshalb vorliegend auch die Kosten des vorinstanzlichen Verfahrens neu zu verlegen sind. Gemäss Art. 43 der Gebührenverordnung BAV richten sich die Kosten und die Entschädigungspflicht bei Streitigkeiten nach Artikel 40 EBG nach der Kostenverordnung. Art. 1 der Kostenverordnung bestimmt, dass die Verfahrenskosten der unterliegenden Partei aufzuerlegen sind. Bei der Verlegung der Kosten des vorinstanzlichen Verfahrens ist zu beachten, dass die Beschwerdeführerin anders als im vorliegenden Beschwerdeverfahren noch beantragt hat, die Beschwerdegegnerinnen seien zu verpflichten, ihr zusammen insgesamt Fr. 100'073.-- (statt Fr. 71'786.--) und damit drei Viertel der dem Übergang "Station" anzurechnenden Kosten zu bezahlen. Unter Berücksichtigung dieses Umstands ist entsprechend dem vorliegenden Entscheid von einem Unterliegen der Beschwerdeführerin im vorinstanzlichen Verfahren im Umfang von drei Vierteln und der Beschwerdegegnerinnen im Umfang von insgesamt einem Viertel auszugehen. Die Höhe der vorinstanzlichen Kosten liegt nicht im Streit. Ob sie die Vorinstanz dem Streitwert entsprechend festgelegt hat, kann deshalb offen bleiben. Die Kosten des vorinstanzlichen Verfahrens in der Höhe von Fr. 880.-- sind damit zu drei Vierteln, d.h. im Betrag von Fr. 660.--, der Beschwerdeführerin aufzuerlegen. Der restliche Betrag in der Höhe von Fr. 220.-- ist der Beschwerdegegnerin 2 bzw. der Beschwerdegegnerin 1 entsprechend dem Umfang des ihnen zuzurechnenden und von ihnen zu vergütenden Vorteils (vgl. E. 9.2 hiervor) aufzuerlegen. Die Beschwerdegegnerin 2 hat für das vorinstanzliche Verfahren somit einen Kostenanteil in der Höhe von Fr. 147.-- (zwei Drittel von Fr. 220.--), die Beschwerdegegnerin 1 in der Höhe von Fr. 73.-- (ein Drittel von Fr. 220.--) zu bezahlen.</w:t>
      </w:r>
    </w:p>
    <w:p>
      <w:r>
        <w:rPr>
          <w:b/>
        </w:rPr>
        <w:t>E. 14</w:t>
      </w:r>
    </w:p>
    <w:p>
      <w:r>
        <w:t>Die Verfahrenskosten im Beschwerdeverfahren vor Bundesverwaltungsgericht werden in der Regel der unterliegenden Partei auferlegt. Unterliegt eine Partei nur teilweise, werden sie ermässigt (Art. 63 Abs. 1 VwVG). Keine Verfahrenskosten werden Vorinstanzen auferlegt (Art. 63 Abs. 2 VwVG). Die Beschwerdeführerin hat beantragt, die beiden Beschwerdegegnerinnen hätten zusammen insgesamt die Hälfte der auf die Sanierung des Bahnübergangs anzurechnenden Kosten zu tragen. Das Bundesverwaltungsgericht erachtet gemäss dem vorliegenden Entscheid demgegenüber eine Beteiligung der beiden Beschwerdegegnerinnen im Umfang von insgesamt einem Viertel als angemessen. Im Beschwerdeverfahren vor Bundesverwaltungsgericht ist deshalb von einem je hälftigen Unterliegen der Beschwerdeführerin und der beiden Beschwerdegegnerinnen auszugehen. Die Verfahrenskosten in der Höhe von Fr. 3'000.-- (vgl. Art. 1 ff., insbesondere Art. 4 des Reglements vom 21. Februar 2008 über die Kosten und Entschädigungen vor dem Bundesverwaltungsgericht [VGKE, SR 173.320.2]) sind folglich je zur Hälfte der Beschwerdeführerin und den Beschwerdegegnerinnen aufzuerlegen. Der auf die beiden Beschwerdegegnerinnen fallende Betrag in der Höhe von Fr. 1'500.-- ist von diesen ebenfalls entsprechend dem Umfang des ihnen zuzurechnenden und von ihnen zu vergütenden Vorteils zu tragen. Die Beschwerdegegnerin 2 hat für das Verfahren vor Bundesverwaltungsgericht somit einen Kostenanteil in der Höhe von Fr. 1'000.-- (zwei Drittel von Fr. 1'500.--), die Beschwerdegegnerin 1 in der Höhe von Fr. 500.-- (ein Drittel von Fr. 1'500.--) zu bezahlen. Von dem geleisteten Kostenvorschuss im Betrag von Fr. 2'000.-- sind der Beschwerdeführerin nach Eintritt der Rechtskraft des vorliegenden Entscheids Fr. 500.-- zurückzuerstatten.</w:t>
      </w:r>
    </w:p>
    <w:p>
      <w:r>
        <w:rPr>
          <w:b/>
        </w:rPr>
        <w:t>E. 15</w:t>
      </w:r>
    </w:p>
    <w:p>
      <w:r>
        <w:t>Da die Beschwerdegegnerinnen teilweise obsiegen, ist ihnen eine reduzierte Parteientschädigung zuzusprechen (Art. 64 Abs. 1 VwVG i.V.m. Art. 7 Abs. 2 VGKE). Der Vertreter der Beschwerdegegnerin 1 hat eine Kostennote im Betrage von Fr. 5'416.60 eingereicht, derjenige der Beschwerdegegnerin 2 eine im Betrage von Fr. 4'680.60. Beide Kostennoten geben zu keinen Beanstandungen Anlass. Entsprechend dem hälftigen Unterliegen bzw. im Umfang des von ihnen zu vergütenden Vorteils sind die in den von den Beschwerdegegnerinnen 1 bzw. 2 eingereichten Kostennoten ausgewiesenen Beträge um einen Sechstel (Beschwerdegegnerin 1) bzw. zwei Sechstel (Beschwerdegegnerin 2) zu kürzen. Der Beschwerdegegnerin 1 steht somit eine Parteientschädigung von pauschal Fr. 4'514.-- und der Beschwerdegegnerin 2 eine solche von pauschal Fr. 3'120.-- (je inkl. Mehrwertsteuer und Auslagen) zu. Diese Beträge hat die Beschwerdeführerin den Beschwerdegegnerinnen zu entrichten (Art. 64 Abs. 2 VwVG). Die nicht anwaltlich vertretene Beschwerdeführerin hat keinen Anspruch auf eine Parteientschädigung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