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A-5860/2025 vom 15. April 2026</w:t>
      </w:r>
    </w:p>
    <w:p>
      <w:r>
        <w:t>Bundesverwaltungsgericht, 2026-04-15, DE</w:t>
      </w:r>
    </w:p>
    <w:p>
      <w:r>
        <w:rPr>
          <w:b/>
        </w:rPr>
        <w:t xml:space="preserve">Quelle: </w:t>
      </w:r>
      <w:r>
        <w:t>https://mcp.opencaselaw.ch/entscheid/bvger_A-5860_2025</w:t>
      </w:r>
    </w:p>
    <w:p>
      <w:r>
        <w:t>FR: TAF A-5860/2025 du 15 avril 2026</w:t>
      </w:r>
    </w:p>
    <w:p>
      <w:r>
        <w:t>IT: TAF A-5860/2025 del 15 aprile 2026</w:t>
      </w:r>
    </w:p>
    <w:p>
      <w:pPr>
        <w:pStyle w:val="Heading2"/>
      </w:pPr>
      <w:r>
        <w:t>Regeste</w:t>
      </w:r>
    </w:p>
    <w:p>
      <w:r>
        <w:t>Amtshilfe</w:t>
      </w:r>
    </w:p>
    <w:p>
      <w:pPr>
        <w:pStyle w:val="Heading2"/>
      </w:pPr>
      <w:r>
        <w:t>Erwägungen</w:t>
      </w:r>
    </w:p>
    <w:p>
      <w:r>
        <w:rPr>
          <w:b/>
        </w:rPr>
        <w:t>E. 1.1</w:t>
      </w:r>
    </w:p>
    <w:p>
      <w:r>
        <w:t>Das vorliegende Amtshilfeersuchen vom 6. September 2024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StAhiG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die Voraussetzungen der Beschwerdelegitimation (vgl. Art. 19 Abs. 2 StAhiG i.V.m. Art. 48 VwVG). Die Beschwerde wurde überdies form- und fristgerecht eingereicht (Art. 50 Abs. 1 und Art. 52 Abs. 1 VwVG). Auf die Beschwerde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Sowohl die Schweiz als auch die Ukraine sind Vertragsparteien des MAC, worauf sich das Amtshilfeersuchen vom 6. September 2024 stützt. Unter anderem ist in diesem Staatsvertrag die Leistung von Amtshilfe auf Ersuchen vorgesehen (Art. 5 Abs. 1 MAC).</w:t>
      </w:r>
    </w:p>
    <w:p>
      <w:r>
        <w:rPr>
          <w:b/>
        </w:rPr>
        <w:t>E. 2.1.1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 Für die Ukraine ist das Übereinkommen am 1. September 2013 in Kraft getreten.</w:t>
      </w:r>
    </w:p>
    <w:p>
      <w:r>
        <w:rPr>
          <w:b/>
        </w:rPr>
        <w:t>E. 2.1.3</w:t>
      </w:r>
    </w:p>
    <w:p>
      <w:r>
        <w:t>Das Amtshilfeersuchen vom 6. September 2024 betrifft die Unternehmenssteuer und den Ermittlungszeitraum vom 1. Januar 2017 bis 31. Dezember 2021 (vgl. act. 1, S. 6). Es fällt, entsprechend den vorstehenden Ausführungen, erst für den Zeitraum vom 1. Januar 2018 bis 31. Dezember 2021 in den Anwendungsbereich von Art. 5 Abs. 1 MAC, wie die Vorinstanz bereits zutreffend feststellte.</w:t>
      </w:r>
    </w:p>
    <w:p>
      <w:r>
        <w:rPr>
          <w:b/>
        </w:rPr>
        <w:t>E. 2.2.1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w:t>
      </w:r>
    </w:p>
    <w:p>
      <w:r>
        <w:rPr>
          <w:b/>
        </w:rPr>
        <w:t>E. 2.2.2</w:t>
      </w:r>
    </w:p>
    <w:p>
      <w:r>
        <w:t>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2.3</w:t>
      </w:r>
    </w:p>
    <w:p>
      <w:r>
        <w:t>Das Ersuchen vom 6. September 2024 erfüllt somit alle formellen Vor-aussetzungen.</w:t>
      </w:r>
    </w:p>
    <w:p>
      <w:r>
        <w:rPr>
          <w:b/>
        </w:rPr>
        <w:t>E. 3</w:t>
      </w:r>
    </w:p>
    <w:p>
      <w:r>
        <w:t>Die Beschwerdeführerin rügt eine Verletzung des rechtlichen Gehörs, indem sie vorträgt, die Vorinstanz habe ihre Einwände im Rahmen der Schlussverfügung nicht hinreichend gewürdigt. Darauf ist vorab einzugehen.</w:t>
      </w:r>
    </w:p>
    <w:p>
      <w:r>
        <w:rPr>
          <w:b/>
        </w:rPr>
        <w:t>E. 3.1.1</w:t>
      </w:r>
    </w:p>
    <w:p>
      <w:r>
        <w:t>Im Sinne einer allgemeinen Verfahrensgarantie haben Parteien gemäss Art. 29 Abs. 2 der Bundesverfassung der Schweizerischen Eidgenossenschaft vom 18. April 1999 (SR 101; nachfolgend: BV) Anspruch auf rechtliches Gehör. Dieser Anspruch umfasst diverse Teilgehalte, darunter das die Behörde die Vorbringen der Betroffenen tatsächlich hört, ernsthaft prüft und in ihrer Entscheidfindung angemessen berücksichtigt.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(statt vieler: BGE 142 II 49 E. 9.2, 141 IV 249 E. 1.3.1 m.w.H.; Urteile des BVGer A-511/2024 vom 16. Dezember 2024 E. 4.5.2, A-5273/2023 vom 24. Juni 2024 E. 2.3.1, A-4474/2021 vom 2. März 2023 E. 4.3.2).</w:t>
      </w:r>
    </w:p>
    <w:p>
      <w:r>
        <w:rPr>
          <w:b/>
        </w:rPr>
        <w:t>E. 3.1.2</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und A-1695/2015 vom 27. April 2016 E. 2.2.2). Bei Verstössen gegen die Begründungspflicht kann der Mangel behoben werden, wenn die Rechtsmittelbehörde eine hinreichende Begründung abgibt oder wenn die Vorinstanz anlässlich der Anfechtung ihres Entscheides eine genügende Begründung nachschiebt, etwa in der Vernehmlassung (vgl. BGE 126 V 130 E. 2b; Urteile des BVGer A-1747/2015 vom 10. November 2015 E. 3.4.6, A-821/2013 vom 2. September 2013 E. 3.2.3 f.; André Moser et al., Prozessieren vor dem Bundesverwaltungsgericht, 3. Aufl. 2022, Rz. 3.114).</w:t>
      </w:r>
    </w:p>
    <w:p>
      <w:r>
        <w:rPr>
          <w:b/>
        </w:rPr>
        <w:t>E. 3.2</w:t>
      </w:r>
    </w:p>
    <w:p>
      <w:r>
        <w:t>Die Beschwerdeführerin trägt vor, die Vorinstanz habe ihren Anspruch auf rechtliches Gehör verletzt. Insbesondere habe die Vorinstanz die Vorbringen der Beschwerdeführerin nicht im Rahmen ihrer Sachverhaltsdarstellung berücksichtigt und mit dem von der Beschwerdeführerin vorgetragenen Sachverhalt gegenübergestellt. Sodann habe es die Vorinstanz unterlassen, eine vertiefte Überprüfung der vom Beschwerdeführer vorgetragenen Sachverhaltselemente vorzunehmen. Es fehle eine hinreichende Auseinandersetzung mit den Vorbringen der Beschwerdeführerin im Rahmen der Schlussverfügung. Das Abstellen auf den Sachverhalt im Ersuchen, deute darauf hin, dass die Vorinstanz nicht gewillt gewesen sei den Sachverhalt eigenständig und unvoreingenommen abzuklären und zu würdigen.</w:t>
      </w:r>
    </w:p>
    <w:p>
      <w:r>
        <w:rPr>
          <w:b/>
        </w:rPr>
        <w:t>E. 3.3</w:t>
      </w:r>
    </w:p>
    <w:p>
      <w:r>
        <w:t>Die Vorinstanz erwidert, sie habe konkret aufgezeigt, inwiefern im Ersuchen hinreichende Verdachtsmomente für den dargestellten Sachverhalt im Sinne der Rechtsprechung vorgebracht werden. Sie sei darauf eingegangen, dass die Beschwerdeführerin den von der ersuchenden Behörde dargelegten Sachverhalt nicht mit Urkunden zu widerlegen vermöge. Sie habe sich mit allen Argumenten der Beschwerdeführerin auseinandergesetzt und sich im Rahmen der Schlussverfügung zu den vorgetragenen Rügen betreffend die wirtschaftliche Berechtigung, die fishing expedition und die voraussichtlichen Erheblichkeit geäussert.</w:t>
      </w:r>
    </w:p>
    <w:p>
      <w:r>
        <w:rPr>
          <w:b/>
        </w:rPr>
        <w:t>E. 3.4.1</w:t>
      </w:r>
    </w:p>
    <w:p>
      <w:r>
        <w:t>Vorliegend hat sich die Vorinstanz ausdrücklich mit den in den Stellungnahmen vorgebrachten Argumenten auseinandergesetzt. Für die Beschwerdeführerin war daher erkennbar, von welchen Überlegungen sich die Vorinstanz hat leiten lassen und weshalb sie die Voraussetzungen für eine Amtshilfe als erfüllt und die zur Übermittlung vorgesehenen Informationen allesamt als voraussichtlich erheblich erachtet. Letztlich war die Beschwerdeführerin - wie die Vorbringen in ihrer Beschwerde zeigen - auch im Stande, die Verfügung sachgerecht anzufechten. Vor dem Hintergrund, dass der Gehörsanspruch nicht verlangt, dass sich die Behörde mit allen Parteistandpunkten einlässlich auseinandersetzt und jedes einzelne Vorbringen ausdrücklich widerlegt, erweist sich die Rüge der Gehörsverletzung demnach als unbegründet (vgl. Urteil des BVGer A-4156/2021 vom 16. April 2024 E. 5.2). Ebenso ist keine Voreingenommenheit erkennbar.</w:t>
      </w:r>
    </w:p>
    <w:p>
      <w:r>
        <w:rPr>
          <w:b/>
        </w:rPr>
        <w:t>E. 3.4.2</w:t>
      </w:r>
    </w:p>
    <w:p>
      <w:r>
        <w:t>Selbst wenn eine Gehörsverletzung zu bejahen wäre, gälte diese vor dem - mit voller Kognition ausgestattetem - Bundesverwaltungsgericht als geheilt. Dies rechtfertigt sich auch deshalb, weil sich die Vorinstanz in ihrer Vernehmlassung zum fraglichen Vorbringen der Beschwerdeführerin nochmals äusserte und darin zum Ausdruck brachte, dass sie in der Sache erneut gleich entscheiden würde. Eine Rückweisung der Sache an die Vorinstanz wäre daher ein prozessualer Leerlauf, der den Interessen der Beschwerdeführerin an einer beförderlichen Behandlung der Streitsache zuwiderliefe (vgl. Urteil des BVGer A-5947/2022 vom 18. November 2024 E. 2.3).</w:t>
      </w:r>
    </w:p>
    <w:p>
      <w:r>
        <w:rPr>
          <w:b/>
        </w:rPr>
        <w:t>E. 4</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 des BVGer A-5383/2019 vom 24. November 2020 E. 2.4). Gleiches gilt für die vom ersuchenden Staat abgegebenen Erklärungen (BGE 142 II 218 E. 3.3; Urteile des BVGer A-2664/2020 vom 26. Januar 2021 E. 6.1.1 f., A-105/2020 vom 22. Januar 2021 E. 2.3.1, A-4228/2018 vom 26. August 2019 E. 2.2, vgl. zum Ganzen auch: Urteil des BVGer A-3576/2020 vom 1. März 2021 E. 2.2.5).</w:t>
      </w:r>
    </w:p>
    <w:p>
      <w:r>
        <w:rPr>
          <w:b/>
        </w:rPr>
        <w:t>E. 4.2</w:t>
      </w:r>
    </w:p>
    <w:p>
      <w:r>
        <w:t>Gemäss Art. 5 Abs. 1 i.V.m. Art. 4 Abs. 1 MAC tauschen die Vertragsparteien alle Informationen aus, die für die Anwendung beziehungsweise Durchsetzung ihres innerstaatlichen Rechts betreffend die unter dieses Übereinkommen fallenden Steuern voraussichtlich erheblich sind.</w:t>
      </w:r>
    </w:p>
    <w:p>
      <w:r>
        <w:rPr>
          <w:b/>
        </w:rPr>
        <w:t>E. 4.2.1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4.2.2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2C_780/2020 vom 10. März 2021], A-2830/2018 vom 17. September 2018 E. 3.1).</w:t>
      </w:r>
    </w:p>
    <w:p>
      <w:r>
        <w:rPr>
          <w:b/>
        </w:rPr>
        <w:t>E. 4.2.3</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2.3.3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m.w.H.). Gemäss der bundesgerichtlichen Rechtsprechung hat der Begriff der fishing expedition einerseits einen verfahrensrechtlichen Charakter (ein Gesuch darf nicht zu Sondierungszwecken gestellt werden) und bildet andererseits auch eine materielle Schranke für den Informationsaustausch, indem die Amtshilfe dem ersuchenden Staat nicht erlauben darf, Informationen zu erhalten, die keinen ausreichend konkreten Bezug zum im Ersuchen geschilderten Sachverhalt haben (Urteile des BGer 2C_953/2020 vom 24. November 2021 E. 3.3, 2C_1662/2016 vom 4. Oktober 2017 E. 9.1.1 f.). Enthält ein Ersuchen alle Informationen, die gemäss dem anwendbaren Übereinkommen erforderlich sind, kann das Vorliegen einer fishing expedition grundsätzlich verneint werden (Urteil des BGer 2C_953/2020 vom 24. November 2021 E. 3.3; Urteil des BVGer A-5281/2021 vom 2. Mai 2022 E. 6.1).</w:t>
      </w:r>
    </w:p>
    <w:p>
      <w:r>
        <w:rPr>
          <w:b/>
        </w:rPr>
        <w:t>E. 4.3</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Entscheid 2C_393/2023 vom 19. Juli 2023 auf die Beschwerde nicht eingetreten.]).</w:t>
      </w:r>
    </w:p>
    <w:p>
      <w:r>
        <w:rPr>
          <w:b/>
        </w:rPr>
        <w:t>E. 5</w:t>
      </w:r>
    </w:p>
    <w:p>
      <w:r>
        <w:t>Die Beschwerdeführerin beantragt in der Hauptsache, die Schlussverfügung sei aufzuheben und die Amtshilfe sei zu verweigern. Insbesondere rügt sie, es bestünden keine hinreichenden Verdachtsmomente für die Gewährung der Amtshilfe und trägt vor, der von der ersuchenden Behörde geschilderte Sachverhalt sei unzutreffend. Sodann argumentiert sie, die Informationen seien nicht voraussichtlich erheblich. Nachfolgend ist daher zu prüfen, ob die von der Vorinstanz edierten Informationen im in der Schlussverfügung definierten Umfang übermittelt werden dürfen.</w:t>
      </w:r>
    </w:p>
    <w:p>
      <w:r>
        <w:rPr>
          <w:b/>
        </w:rPr>
        <w:t>E. 5.1.1</w:t>
      </w:r>
    </w:p>
    <w:p>
      <w:r>
        <w:t>Die Beschwerdeführerin trägt zum Thema der ungenügenden Sachverhaltsdarstellung vor, die ersuchende Behörde habe keine hinreichenden Verdachtsmomente für eine Steuerumgehung darlegen können. Die Frage der wirtschaftlichen Berechtigung sei bereits geklärt, weshalb dem Amtshilfeersuchen jede Grundlage fehle. Sie habe urkundlich alle Nachweise diesbezüglich erbracht. Das Fehlen einer Drittperson könne beweislogisch nicht nachgewiesen werden.</w:t>
      </w:r>
    </w:p>
    <w:p>
      <w:r>
        <w:rPr>
          <w:b/>
        </w:rPr>
        <w:t>E. 5.1.2</w:t>
      </w:r>
    </w:p>
    <w:p>
      <w:r>
        <w:t>Die Vorinstanz führt zu diesem Punkt aus, anders als von der Beschwerdeführerin vorgebracht, sei für die Beurteilung der Zulässigkeit des Ersuchens nicht relevant, ob sich aus dem Amtshilfegesuch Verdachtsmomente für ein Delikt ergeben oder nicht. Der Sachverhalt sei hinreichend erstellt, da die ersuchende Behörde vorbringe, dass die in der Ukraine ansässigen betroffenen Gesellschaften in der ersuchten Zeitperiode Darlehenszinse an die Beschwerdeführerin in Zypern geleistet und dabei von einem Vorzugssteuersatz profitiert hätten, wobei die Beschwerdeführerin wiederum selbst Empfängerin von Darlehen gewesen sei und Zinszahlungen an Drittparteien geleistet habe. Das vorliegende Ersuchen soll der ersuchenden Behörde gerade dazu dienen, die steuerlichen Auswirkungen dieses Sachverhalts klären und beurteilen zu können.</w:t>
      </w:r>
    </w:p>
    <w:p>
      <w:r>
        <w:rPr>
          <w:b/>
        </w:rPr>
        <w:t>E. 5.1.3</w:t>
      </w:r>
    </w:p>
    <w:p>
      <w:r>
        <w:t>Wie einleitend ausgeführt (E. 4.1) ist das Amtshilfeverfahren vom Grundsatz des völkerrechtlichen Vertrauensprinzips beherrscht, wonach - ausser bei offenbarem Rechtsmissbrauch - prinzipiell kein Anlass besteht, an Sachverhaltsdarstellungen und Erklärungen anderer Staaten zu zweifeln. Die ESTV ist daher an die Darstellung des Sachverhalts im Ersuchen gebunden, sofern diese nicht wegen offensichtlicher Fehler, Lücken oder Widersprüche sofort mittels Urkunden entkräftet werden kann. Die ersuchende Behörde macht nachvollziehbare Ausführungen zur laufenden Steueruntersuchung in der Ukraine und schildert einen vermuteten Sachverhalt, der mithilfe der ersuchten Informationen bestätigt oder widerlegt werden kann. Dabei geht es nicht nur um die Eigentumsverhältnisse an den beteiligten Gesellschaften und die Ansässigkeit der involvierten Gesellschaften und Personen, sondern auch um die Frage, ob die getätigten Zahlungen tatsächlich Zinsens aus Darlehensverträgen darstellen oder nur als solche bezeichnet werden, um von den Steuererleichterungen aus dem DBA CYP-UKR profitieren zu können. Entgegen den Behauptungen der Beschwerdeführerin konnte diese nicht alle Darstellungen des Sachverhalts mit Urkunden widerlegen. Auch konnte sie keine Fehler, Lücken oder Widersprüche aufzeigen. Es bestehen somit keine stichhaltigen Gründe, die darauf hindeuten würden, dass das Amtshilfeersuchen rechtsmissbräuchlich gestellt worden wäre. Daraus folgt, dass die Vorinstanz an das völkerrechtliche Vertrauensprinzip gebunden ist und auf den dargestellten Sachverhalt abzustellen hat.</w:t>
      </w:r>
    </w:p>
    <w:p>
      <w:r>
        <w:rPr>
          <w:b/>
        </w:rPr>
        <w:t>E. 5.2.1</w:t>
      </w:r>
    </w:p>
    <w:p>
      <w:r>
        <w:t>Im Zusammenhang mit der gerügten fehlenden voraussichtlichen Erheblichkeit trägt die Beschwerdeführerin vor, es liege eine fishing expedition vor. Die im Amtshilfegesuch vorgebrachten allgemeinen Hinweise auf ein angebliches Missbrauchsrisiko beruhten auf einem standardisierten Textmuster und seien nicht geeignet, ein konkretes Ersuchen zu begründen. Aus den Jahresabschlüssen der Beschwerdeführerin in der fraglichen Zeitperiode ergäben sich keinerlei Anhaltspunkte für eine Steuerumgehung, genauso wenig wie aus anderen Dokumenten, welche die ukrainischen Behörden im Rahmen ihres Amtshilfeersuchens in Zypern erhältlich gemacht hätten. Die zur Übermittlung vorgesehenen, von der Bank edierten Dokumente zeigten denn auch keinerlei Anhaltspunkte, welche auf eine Steuerumgehung hindeuten würden. Eine voraussichtliche Erheblichkeit dieser Dokumente für die in der Ukraine durchgeführte Untersuchung sei nicht erkennbar.</w:t>
      </w:r>
    </w:p>
    <w:p>
      <w:r>
        <w:rPr>
          <w:b/>
        </w:rPr>
        <w:t>E. 5.2.2</w:t>
      </w:r>
    </w:p>
    <w:p>
      <w:r>
        <w:t>Die Vorinstanz argumentiert, die ersuchten Informationen seien voraussichtlich erheblich für die im Ersuchen genannten Zwecke. Da das Amtshilfeersuchen alle formellen Voraussetzungen erfülle, sei eine fishing expedition ausgeschlossen. Die Leistung von Amtshilfe sei auch dann verhältnismässig bzw. zulässig, wenn die ersuchende Behörde über einige oder alle erbetenen Informationen verfüge und die ersuchten Informationen zur Überprüfung oder Validierung bereits vorhandener Informationen verwende.</w:t>
      </w:r>
    </w:p>
    <w:p>
      <w:r>
        <w:rPr>
          <w:b/>
        </w:rPr>
        <w:t>E. 5.2.3</w:t>
      </w:r>
    </w:p>
    <w:p>
      <w:r>
        <w:t>Wie bereits ausgeführt, kann das Vorliegen einer fishing expedition grundsätzlich verneint werden, wenn ein Ersuchen alle Informationen enthält, die gemäss dem anwendbaren Übereinkommen erforderlich sind (E. 4.2.3 vorstehend). Dies ist vorliegend der Fall. Das Amtshilfeersuchen erfüllt die formellen Voraussetzungen und enthält alle erforderlichen Informationen (vgl. dazu auch E. 5.1 vorstehend). Insbesondere dürfen Amtshilfeersuchen gerade auch der Verifikation eines vermuteten Sachverhalts dienen, wie die Vorinstanz zutreffend ausführt. Dass sich die Informationen im Nachhinein tatsächlich als voraussichtlich erheblich erweisen, ist indessen nicht erforderlich. Der ersuchte Staat hat denn auch keine materielle Prüfung vorzunehmen. Die materiell-rechtliche Argumentation betreffend die wirtschaftliche Berechtigung und die Ansässigkeit sowie die Ausführungen, dass kein Steuererhebungstatbestand gegeben ist, kann die Beschwerdeführerin im Rahmen des Steuerverfahrens vor der ersuchenden Behörde geltend machen. Es ist folglich nicht ersichtlich, dass das Amtshilfeersuchen eine unzulässige fishing expedition darstellen würde, die ersuchten Informationen sind voraussichtlich erheblich.</w:t>
      </w:r>
    </w:p>
    <w:p>
      <w:r>
        <w:rPr>
          <w:b/>
        </w:rPr>
        <w:t>E. 5.2.4</w:t>
      </w:r>
    </w:p>
    <w:p>
      <w:r>
        <w:t>Die Beschwerdeführerin erwähnt im Rahmen ihrer Argumentation betreffend die Unverhältnismässigkeit der geplanten Übermittlung, dass die Offenlegung der edierten Informationen einen schweren Eingriff in ihre wirtschaftliche Geheimsphäre darstellen würde. Sie substantiierte diese Behauptung indessen nicht näher und macht keine Gefährdung konkrete Geschäfts- oder Fabrikationsgeheimnisse geltend. Vor diesem Hintergrund erweist sich die geplante Übermittlung auch nicht als unverhältnismässig.</w:t>
      </w:r>
    </w:p>
    <w:p>
      <w:r>
        <w:rPr>
          <w:b/>
        </w:rPr>
        <w:t>E. 5.3</w:t>
      </w:r>
    </w:p>
    <w:p>
      <w:r>
        <w:t>Damit ist die Beschwerde insgesamt vollumfänglich abzuweisen.</w:t>
      </w:r>
    </w:p>
    <w:p>
      <w:r>
        <w:rPr>
          <w:b/>
        </w:rPr>
        <w:t>E. 6.1</w:t>
      </w:r>
    </w:p>
    <w:p>
      <w:r>
        <w:t>Ausgangsgemäss hat die Beschwerdeführerin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Der unterliegenden Beschwerdeführerin ist keine Parteientschädigung zuzusprechen (vgl. Art. 64 Abs. 1 VwVG e contrario und Art. 7 Abs. 1 VGKE e contrario).</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