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A-5837/2010 vom 4. April 2011</w:t>
      </w:r>
    </w:p>
    <w:p>
      <w:r>
        <w:t>Bundesverwaltungsgericht, 2011-04-04, DE</w:t>
      </w:r>
    </w:p>
    <w:p>
      <w:r>
        <w:rPr>
          <w:b/>
        </w:rPr>
        <w:t xml:space="preserve">Quelle: </w:t>
      </w:r>
      <w:r>
        <w:t>https://mcp.opencaselaw.ch/entscheid/bvger_A-5837_2010</w:t>
      </w:r>
    </w:p>
    <w:p>
      <w:r>
        <w:t>FR: TAF A-5837/2010 du 4 avril 2011</w:t>
      </w:r>
    </w:p>
    <w:p>
      <w:r>
        <w:t>IT: TAF A-5837/2010 del 4 aprile 2011</w:t>
      </w:r>
    </w:p>
    <w:p>
      <w:pPr>
        <w:pStyle w:val="Heading2"/>
      </w:pPr>
      <w:r>
        <w:t>Regeste</w:t>
      </w:r>
    </w:p>
    <w:p>
      <w:r>
        <w:t>Staatshaftung (Bund)</w:t>
      </w:r>
    </w:p>
    <w:p>
      <w:pPr>
        <w:pStyle w:val="Heading2"/>
      </w:pPr>
      <w:r>
        <w:t>Erwägungen</w:t>
      </w:r>
    </w:p>
    <w:p>
      <w:r>
        <w:rPr>
          <w:b/>
        </w:rPr>
        <w:t>E. 1.1</w:t>
      </w:r>
    </w:p>
    <w:p>
      <w:r>
        <w:t>Nach Art. 31 des Bundesgesetzes vom 17. Juni 2005 über das Bundesverwaltungsgericht (Verwaltungsgerichtsgesetz, VGG, SR 173.32) beurteilt dieses Beschwerden gegen Verfü­gungen nach Art. 5 des Bundesgesetzes vom 20. Dezember 1968 über das Verwaltungsver­fahren (VwVG, SR 172.021), sofern keine Ausnahme nach Art. 32 VGG gegeben und die Verfügung von einer Vorinstanz im Sinne von Art. 33 VGG erlassen worden ist. Das ASTRA ist eine Vorinstanz gemäss Art. 33 Bst. d VGG und es hat seine Verfügung u.a. auf Art. 3 Abs. 2 und Art. 20 Abs. 1 VG gestützt, mithin auf öffentliches Recht des Bundes. Im Bereich der Staatshaftung liegt keine sachliche Ausnahme nach Art. 32 VGG vor. Entsprechend hält Art. 10 Abs. 1 VG denn auch fest, dass sich das Beschwerdeverfahren nach den allge­meinen Bestimmungen über die Bundesrechtspflege richte. Dies wird im Übrigen in Art. 2 Abs. 3 der Verordnung zum Verantwortlichkeitsgesetz vom 30. Dezember 1958 (SR 170.321) ausdrücklich bestätigt. Die Zuständigkeit des Bundesverwal­tungsgerichtes setzt jedoch voraus, dass das Verantwortlichkeitsgesetz zu Recht auf den vorliegenden Sachverhalt angewendet wurde, was nachfolgend zu prüfen ist (E. 3 - 5). Andernfalls wäre auf die Beschwerde nicht einzutreten.</w:t>
      </w:r>
    </w:p>
    <w:p>
      <w:r>
        <w:rPr>
          <w:b/>
        </w:rPr>
        <w:t>E. 1.2</w:t>
      </w:r>
    </w:p>
    <w:p>
      <w:r>
        <w:t>Zur Beschwerde ist berechtigt, wer vor der Vorinstanz am Verfahren teilgenommen oder keine Möglichkeit dazu erhalten hat, durch die angefochtene Verfügung besonders berührt ist und ein schutzwürdiges Interesse an deren Aufhebung oder Änderung hat (Art. 48 Abs. 1 VwVG). Der Beschwerdeführer ist durch die angefochtene Verfügung, mit der sein Schadenersatzbegehren abgelehnt worden ist, ohne Weiteres beschwert und damit zur Beschwerde befugt.</w:t>
      </w:r>
    </w:p>
    <w:p>
      <w:r>
        <w:rPr>
          <w:b/>
        </w:rPr>
        <w:t>E. 1.3</w:t>
      </w:r>
    </w:p>
    <w:p>
      <w:r>
        <w:t>Im Übrigen wurde die Beschwerde frist- und formgerecht eingereicht (Art. 50 Abs. 1 und Art. 52 Abs. 1 VwVG).</w:t>
      </w:r>
    </w:p>
    <w:p>
      <w:r>
        <w:rPr>
          <w:b/>
        </w:rPr>
        <w:t>E. 1.4</w:t>
      </w:r>
    </w:p>
    <w:p>
      <w:r>
        <w:t>Schadenersatz- bzw. Genugtuungsforderungen gegenüber dem Gemeinwesen weisen regelmässig einen vermögensrechtlichen Charak­ter auf und fallen deshalb unter die Schutzgarantien von Art. 6 der Konvention vom 4. November 1950 zum Schutze der Menschenrechte und Grundfreiheiten (EMRK, SR 0.101), welche unter anderem ein Recht auf Öffentlichkeit des Verfahrens einräumen (vgl. Jost Gross, Schweizerisches Staatshaftungsrecht, 2. Aufl., Bern 2001, 11.7, S. 371). Der Beschwerdeführer hat jedoch keine öffentliche Verhandlung verlangt, so dass ein Verzicht darauf anzunehmen ist.</w:t>
      </w:r>
    </w:p>
    <w:p>
      <w:r>
        <w:rPr>
          <w:b/>
        </w:rPr>
        <w:t>E. 2</w:t>
      </w:r>
    </w:p>
    <w:p>
      <w:r>
        <w:t>Das Bundesverwaltungsgericht kann den angefochtenen Entscheid grundsätzlich in vollem Umfang überprüfen. Der Beschwerdeführer kann neben der Verletzung von Bundesrecht, einschliesslich Rechtsfehler bei der Ausübung des Ermessens (Art. 49 Bst. a VwVG) und der unrichtigen oder unvollständigen Feststellung des rechtserheblichen Sachverhalts (Art. 49 Bst. b VwVG) auch die Rüge der Unangemessen­heit erheben (Art. 49 Bst. c VwVG). Im Verfahren vor dem Bundes­verwaltungsgericht gelten die Untersuchungsmaxime, wonach der Sachverhalt von Amtes wegen festzustellen ist (Art. 12 VwVG; vgl. zum Ganzen: Ulrich Häfelin/ Georg Müller/Felix Uhlmann, Allgemeines Verwaltungsrecht, 6. Aufl., Zürich/St. Gallen 2010, Rz. 1623 ff. und 1758a f.), und der Grundsatz der Rechtsanwendung von Amtes wegen (Art. 62 Abs. 4 VwVG). Das Bundesverwaltungsgericht ist demzufolge verpflichtet, auf den festge­stellten Sachverhalt die richtige Rechtsnorm anzuwenden (Häfelin/ Müller/Uhlmann, a.a.O., Rz. 1632), d. h. jenen Rechtssatz, den es als den zutreffenden erachtet, und ihm jene Auslegung zu geben, von der es überzeugt ist. Dies bedeutet, dass es eine Beschwerde auch aus einem anderen als den geltend gemachten Gründen gutheissen, auf sie nicht eintreten oder den angefochtenen Entscheid im Ergebnis mit einer Begründung bestätigen kann, die von jener der Vorinstanz abweicht (sog. Motivsubstitution, vgl. BGE 131 II 200, 205 E. 4.2; BVGE 2007/41 E. 2). Gemäss Art. 3 Abs. 1 VG haftet der Bund für den Schaden, den ein Be­amter in Ausübung seiner amtlichen Tätigkeit Dritten widerrechtlich zu­fügt, ohne Rücksicht auf das Verschulden des Beamten. Demgegenüber richtet sich die Haftung des Bundes bei Tatbeständen, welche unter die Haftpflichtbestimmungen anderer Erlasse fallen, gemäss Art. 3 Abs. 2 VG nach jenen besonderen Bestimmungen. Zu diesen anderen Bestim­mungen zählt nach unbestrittener Lehre und Rechtsprechung auch die Werkeigen­tümerhaftung nach Art. 58 OR (BGE 95 I 283, 112 II 228 E. 2b, 115 II 245 E. 2c; Urteil der Rekurskommission VBS 470.22.04 vom 8. April 2005 E. 2c; Roland Brehm, Berner Kommentar, N 164 ff. zu Art. 58 OR; Gross, a.a.O., 2.3 S. 21, 2.4.3 S. 30 und 2.4.3.3 S. 34; Häfelin/Müller/Uhlmann, a.a.O., Rz. 2278).</w:t>
      </w:r>
    </w:p>
    <w:p>
      <w:r>
        <w:rPr>
          <w:b/>
        </w:rPr>
        <w:t>E. 3</w:t>
      </w:r>
    </w:p>
    <w:p>
      <w:r>
        <w:t>Somit gilt es in erster Linie zu entscheiden, welches die Rechtgrundlage eines allfälligen Anspruchs des Beschwerdeführers wäre. Beide Parteien gehen in materieller Hinsicht davon aus, dass sich die Schadenersatzpflicht nach Art. 58 OR beurteilt. Auch nach Auffassung des Bundesverwaltungsgerichts ist der Anspruch nach Art. 58 OR zu beurteilen. Nach dieser Bestimmung hat der Eigentümer eines Gebäudes oder eines anderen Werkes den Schaden zu ersetzen, den dieses infolge fehlerhafter Anlage oder Herstellung oder von mangelhaftem Unterhalt verursacht. Es geht somit darum festzustellen, ob die Autobahn als ein Werk im Sinne dieser Norm zu betrachten ist.</w:t>
      </w:r>
    </w:p>
    <w:p>
      <w:r>
        <w:rPr>
          <w:b/>
        </w:rPr>
        <w:t>E. 3.1</w:t>
      </w:r>
    </w:p>
    <w:p>
      <w:r>
        <w:t>Die Vorinstanz stellt sich auf den Standpunkt, dass sie im Rahmen des geltend gemachten Schadenersatzbegehrens nicht als Subjekt des Zivilrechts im Sinne von Art. 11 Abs. 1 VG, sondern in Erfüllung einer öffentlichen Aufgabe - des Betriebs und Unterhalts der Nationalstrassen - handelte. Wie sich der in E. 2 zitierten Rechtsprechung und Lehre übereinstimmend entnehmen lässt, spielt jedoch dieses Kriterium bei den Haftpflichtnormen, welche nach Art. 3 Abs. 2 VG der Haftung nach allgemeinem Verantwortlichkeitsrecht vorgehen, keine Rolle (vgl. insbe­sondere Gross, a.a.O., 2.4.3 S. 30 bei Fn. 134 und diese Fussnote). Öffentliche Strassen sind zweifelsohne vom Werkbegriff von Art. 58 OR erfasst (Roland Brehm, Berner Kommentar, N 161 und insbesondere 164 ff. zu Art. 58 OR; Heinrich Honsell, Schweizerisches Haftpflicht­recht, 4. Auflage, Zürich 2005, § 18 Rz. 12).</w:t>
      </w:r>
    </w:p>
    <w:p>
      <w:r>
        <w:rPr>
          <w:b/>
        </w:rPr>
        <w:t>E. 3.2</w:t>
      </w:r>
    </w:p>
    <w:p>
      <w:r>
        <w:t>Demzufolge richtet sich eine allfällige Verantwortlichkeit des Bundes für den geltend gemachten Schaden nach Art. 58 OR. Steht eine rein zivilrechtliche Haftung in Frage, so kommen nicht nur materiell die Normen des Zivilrechts zur Anwendung, sondern es handelt sich auch in prozessualer Hinsicht um eine zivilrechtliche Streitigkeit. Auf die vorliegende Streitsache ist damit das Zivilprozessrecht anwendbar und die Beurteilung des Schadenersatz­anspruches fällt in die - sachliche und örtliche - Zuständigkeit der Zivilgerichte (vgl. Tobias Jaag, Staats- und Beamtenhaftung, in: Koller/Müller/Rhinow/Zimmerli [Hrsg.], Schweize­risches Bundesverwal­tungsrecht, Basel/Frankfurt a.M. 1996, S. 58 Rz. 166; Pierre Tschannen/Ulrich Zimmerli/Markus Müller, Allgemeines Verwaltungs­recht, 3. Aufl., Bern 2009, § 62 Rz. 56; Häfelin/Müller/Uhlmann, a.a.O., Rz. 2274 f. und 2278 ff.). Kommt somit Art. 58 OR zur Anwendung, sind die Verwaltungsbehörden und das Bundesverwaltungsgericht zur Beurteilung der vorliegenden Streitigkeit nicht zuständig.</w:t>
      </w:r>
    </w:p>
    <w:p>
      <w:r>
        <w:rPr>
          <w:b/>
        </w:rPr>
        <w:t>E. 3.3</w:t>
      </w:r>
    </w:p>
    <w:p>
      <w:r>
        <w:t>Da die Vorinstanz schon aus diesem Grund unzuständig ist, kann offen bleiben, ob die aufgrund der Delegationsvollmacht vom 6. Juni 2006 geltend gemachte Delegation von Befugnissen im Bereich der Nationalstrassen von der Eidgenössischen Finanzverwaltung an das ASTRA auch die Behandlung von Ansprüchen umfasst, die sich auf das VG stützen (vgl. auch E. 4.2).</w:t>
      </w:r>
    </w:p>
    <w:p>
      <w:r>
        <w:rPr>
          <w:b/>
        </w:rPr>
        <w:t>E. 4</w:t>
      </w:r>
    </w:p>
    <w:p>
      <w:r>
        <w:t>Das Verwaltungsverfahren kennt keine Einlassung; demzufolge kann eine Zuständigkeit auch nicht durch Einverständnis zwischen Behörde und Partei begründet werden (Art. 7 Abs. 2 VwVG). Da der Vorinstanz die sachliche Zuständigkeit zum Erlass der angefochtenen Verfügung fehlt, hätte sie auf das Schadenersatzbegehren des Beschwerdeführers nicht eintreten dürfen. Ihre Verfügung erweist sich demnach als bundesrechts­widrig. Zu prüfen bleibt, ob die Verfügung der Vorinstanz nichtig ist oder anfechtbar.</w:t>
      </w:r>
    </w:p>
    <w:p>
      <w:r>
        <w:rPr>
          <w:b/>
        </w:rPr>
        <w:t>E. 4.1</w:t>
      </w:r>
    </w:p>
    <w:p>
      <w:r>
        <w:t>Gemäss Lehre und Rechtsprechung stellt die funktionelle und sachliche Unzuständigkeit einen schweren Mangel einer Verfügung und damit einen Nichtigkeitsgrund dar. Davon ausgenommen sind Fälle, in denen der verfügenden Behörde auf dem betreffenden Gebiet allgemeine Entscheidungsgewalt zukommt oder wenn das Gebot der Rechts­sicherheit durch die Annahme der Nichtigkeit in schwerwiegender Weise beeinträchtigt wird. Die Nichtigkeit einer Verfügung oder einer anderen Verwaltungshandlung hat zur Folge, dass sie von Anfang an keine Rechtswirkung entfaltet. Die Nichtigkeit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sowie im Dispositiv festzustellen (BGE 129 V 485 E. 2.3, 127 II 32 E. 3g; BVGE 2008/59 E. 4.3; Urteil des Bundesverwaltungs­gerichts A-6829/2010 vom 4. Februar 2011 E. 2.2.3; Häfelin/Müller/Uhlmann, a.a.O., Rz. 955 und 961).</w:t>
      </w:r>
    </w:p>
    <w:p>
      <w:r>
        <w:rPr>
          <w:b/>
        </w:rPr>
        <w:t>E. 4.2</w:t>
      </w:r>
    </w:p>
    <w:p>
      <w:r>
        <w:t>Eine Ausnahmesituation im Sinne von E. 4.1 ist vorliegend nicht gegeben. Der Vorinstanz kommen von Gesetzes wegen gar keine Zuständigkeiten im Bereich der Haftpflicht des Bundes zu, weder in jenem der Staatshaftung noch bezüglich der Haftung aufgrund allge­meiner Haftungsnormen. Von einer allgemeinen Entscheidungs­gewalt auf dem betreffenden Gebiet kann daher keine Rede sein, unabhängig davon, ob die Delegation der Zuständigkeit von einer Verwaltungseinheit der Bundesverwaltung auf eine andere durch blosse Vereinbarung, wie sie mit der Delegationsvollmacht vom 6. Juni 2006 erfolgt ist, überhaupt möglich und rechtens ist. Ebenso wenig sind Gründe dafür ersichtlich, dass die Rechtssicherheit der Rechtsfolge der Nichtigkeit entgegen­stehen könnte. Dem Beschwerdeführer steht der Gang an die zuständigen Zivilgerichte nach wie vor offen, ohne dass ihm das Staatshaftungsverfahren oder die Einrede der abgeurteilten Sache (res iudicata) entgegen gehalten werden könnte. Sollte in der Zwischenzeit die Verjährung eingetreten sein, dürfte sich der Beschwerdeführer für den Zeitpunkt der Rechtshängigkeit und die Wahrung dieser gesetzlichen Frist des Privatrechts überdies auf Art. 63 und 64 der Schweizerischen Zivilprozessordnung vom 19. Dezember 2008 (ZPO, SR 272) berufen können, sofern er die Eingabe innert eines Monats seit dem Nichteintretensentscheid beim zuständigen Zivilgericht neu einreicht.</w:t>
      </w:r>
    </w:p>
    <w:p>
      <w:r>
        <w:rPr>
          <w:b/>
        </w:rPr>
        <w:t>E. 4.3</w:t>
      </w:r>
    </w:p>
    <w:p>
      <w:r>
        <w:t>Damit erweist sich die Verfügung der Vorinstanz als nichtig. Das Bundesverwaltungsgericht hat gemäss der in E. 4.1 genannten Recht­sprechung die Nichtigkeit von Amtes wegen festzustellen. Ist die angefochtene Verfügung nichtig, fehlt es zugleich an einem Anfechtungs­objekt im Sinne von Art. 5 VwVG, weshalb das Bundes­verwaltungsgericht auf die Beschwerde nicht eintreten kann.</w:t>
      </w:r>
    </w:p>
    <w:p>
      <w:r>
        <w:rPr>
          <w:b/>
        </w:rPr>
        <w:t>E. 5</w:t>
      </w:r>
    </w:p>
    <w:p>
      <w:r>
        <w:t>Für die Kostenverlegung ist das Ausmass des Unterliegens der Parteien massgebend; dieses hängt von den im konkreten Beschwerdeverfahren gestellten Rechtsbegehren ab (André Moser/Michael Beusch/Lorenz Kneubühler, Prozessieren vor dem Bundesverwaltungsgericht, Basel 2008, Rz. 4.43). Der Vorinstanz werden gemäss Art. 63 Abs. 2 VwVG keine Verfahrenskosten auferlegt (Moser/Beusch/Kneubühler, a.a.O., Rz. 4.47). Soweit dem Beschwerdeführer für sein Unterliegen Verfahrens­kosten aufzuerlegen wären, erscheinen diese aus in der Sache liegenden Gründen als unverhältnismässig (Art. 63 Abs. 1 VwVG und Art. 6 Bst. b Reglement vom 21. Februar 2008 über die Kosten und Entschä­digungen vor dem Bundesverwaltungsgericht [VGKE, SR 173.320.2]), hat doch die Vorinstanz trotz fehlender Zuständigkeit das Gesuch materiell geprüft und eine Haftungsgrundlage abgelehnt. Nach Eintritt der Rechtskraft dieses Urteils ist daher der geleistete Kostenvorschuss von Fr. 700.- dem Beschwerdeführer zurückzuerstatten.</w:t>
      </w:r>
    </w:p>
    <w:p>
      <w:r>
        <w:rPr>
          <w:b/>
        </w:rPr>
        <w:t>E. 6</w:t>
      </w:r>
    </w:p>
    <w:p>
      <w:r>
        <w:t>Gemäss Art. 7 Abs. 1 VGKE hat eine obsiegende Partei Anspruch auf eine Parteientschädigung für die ihr erwachsenen notwendigen Kosten. Diese umfassen die Kosten der Vertretung sowie allfällige weitere not­wendige Auslagen (Art. 8 VGKE). Demzufolge werden Parteien, die nicht obsiegen, grundsätzlich keine Parteientschädigungen zuge­sprochen. Gemäss Praxis kann von diesem Grundsatz in Fällen abgewichen werden, in denen auf das Rechtsmittel wegen der Zuständigkeit der Zivilgerichte nicht eingetreten werden kann und dieser Irrtum des Beschwerdeführers wegen unzutreffender Rechtsmittelbelehrung durch die Vorinstanz entschuldbar erscheint. Es handelt sich somit um einen Anwendungsfall des Gutglaubensschutzes (vgl. Urteil des Bundesverwal­tungsgerichts A-1219/2007 vom 1. Oktober 2008 E. 5.1 und dort zitierte Entscheide). Hierbei ist zu berücksichtigen, dass die Vorinstanz als Fachbehörde, die kaum das erste Mal über ein solches Schadenersatz­begehren zu befinden hatte, ohne weiteres darauf eingetreten ist und eine Verfügung erlassen hat, insbesondere ohne ihre Zuständigkeit überhaupt in Frage zu stellen. Die unzutreffende Rechtsmittelbelehrung am Ende der Verfügung, welche auf die Verwaltungsgerichtsbeschwerde als Rechtsmittel hinweist und das Bundesverwaltungsgericht als angeblich zuständige Rechtsmittelinstanz bezeichnet, ist ebenfalls zu berücksichtigen. Angesichts dieser Umstände erscheint der Irrtum des Beschwerdeführers trotz anwaltlicher Vertretung als entschuldbar. Ferner ist zu beachten, dass durch die Feststellung der Nichtigkeit des vorinstanzlichen Entscheids dem Beschwerdeführer die Möglichkeit eröffnet wird, sein Schadenersatzbegehren beim zuständigen Gericht neu einzureichen, ohne dass die Schweizerische Eidgenossen­schaft die Einrede der abgeurteilten Sache erheben könnte. Die Voraussetzungen für eine Parteientschädigung sind damit gegeben. Das Gericht setzt die Entschädigung gemäss Art. 14 Abs. 2 VGKE aufgrund der Akten fest, wenn keine Kostennote eingereicht wird. Das Bundesverwaltungsgericht erachtet eine Pateientschädigung für den anwaltlich vertretenen Beschwerdeführer in der Höhe von Fr. 1'500.- (inkl. Auslagen und Mehrwertsteuer)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