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A-5836/2012 vom 19. August 2013</w:t>
      </w:r>
    </w:p>
    <w:p>
      <w:r>
        <w:t>Bundesverwaltungsgericht, 2013-08-19, DE</w:t>
      </w:r>
    </w:p>
    <w:p>
      <w:r>
        <w:rPr>
          <w:b/>
        </w:rPr>
        <w:t xml:space="preserve">Quelle: </w:t>
      </w:r>
      <w:r>
        <w:t>https://mcp.opencaselaw.ch/entscheid/bvger_A-5836_2012</w:t>
      </w:r>
    </w:p>
    <w:p>
      <w:r>
        <w:t>FR: TAF A-5836/2012 du 19 août 2013</w:t>
      </w:r>
    </w:p>
    <w:p>
      <w:r>
        <w:t>IT: TAF A-5836/2012 del 19 agosto 2013</w:t>
      </w:r>
    </w:p>
    <w:p>
      <w:pPr>
        <w:pStyle w:val="Heading2"/>
      </w:pPr>
      <w:r>
        <w:t>Regeste</w:t>
      </w:r>
    </w:p>
    <w:p>
      <w:r>
        <w:t>Mehrwertsteuer</w:t>
      </w:r>
    </w:p>
    <w:p>
      <w:pPr>
        <w:pStyle w:val="Heading2"/>
      </w:pPr>
      <w:r>
        <w:t>Erwägungen</w:t>
      </w:r>
    </w:p>
    <w:p>
      <w:r>
        <w:rPr>
          <w:b/>
        </w:rPr>
        <w:t>E. 1</w:t>
      </w:r>
    </w:p>
    <w:p>
      <w:r>
        <w:t>1.1 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Verfahren vor diesem Gericht richtet sich nach dem VwVG, soweit das VGG nichts anderes bestimmt (Art. 37 VGG).</w:t>
      </w:r>
    </w:p>
    <w:p>
      <w:r>
        <w:rPr>
          <w:b/>
        </w:rPr>
        <w:t>E. 1.2</w:t>
      </w:r>
    </w:p>
    <w:p>
      <w:r>
        <w:t>Der Beschwerdeführer stellt unter anderem den formellen Antrag, es sei festzustellen, dass er in den Jahren 2004 bis 2007 nicht mehrwertsteuerpflichtig gewesen sei. Diesen Antrag begründet er im Wesentlichen damit, er habe mehr Privatkilometer zurückgelegt als von der Vorinstanz angerechnet worden seien, und so die für die Steuerpflicht massgeblichen Umsatzlimiten (s. E. 2.2) nicht erreicht. Dem Begehren um Erlass einer Feststellungsverfügung ist nur zu entsprechen, wenn der Beschwerdeführer hierfür ein schutzwürdiges Interesse nachweist (vgl. Art. 25 Abs. 2 VwVG). Dabei gilt es zu beachten, dass gemäss bundesgerichtlicher Rechtsprechung der Anspruch auf Erlass einer Feststellungsverfügung subsidiär gegenüber rechtsgestaltenden Verfügungen ist (statt vieler: BGE 137 II 199 E. 6.5; BVGE 2010/12 E. 2.3; Isabelle Häner, in: Waldmann/Weissenberger [Hrsg.], VwVG - Praxiskommentar zum Bundesgesetz über das Verwaltungsverfahren [Praxiskommentar], Zürich 2009, N 20 zu Art. 25). Vorliegend hat der Beschwerdeführer bereits das negative Leistungsbegehren, das heisst den Antrag auf Aufhebung der angefochtenen Nachbelastung inkl. Verzugszins (durch Aufhebung des angefochtenen Entscheids), gestellt. Damit kann anhand eines konkreten Falls entschieden werden, ob die fragliche Steuernachbelastung zu Recht besteht bzw. die massgebenden Umsatzlimiten erreicht wurden. Dem Beschwerdeführer fehlt deshalb ein schutzwürdiges Interesse an der Behandlung seines Feststellungsbegehrens (statt vieler: Urteil des Bundesgerichts 2C_508/2010 vom 24. März 2011 E. 1.4; BVGE 2007/24 E. 1.3). Auf dieses ist daher nicht einzutreten. Mit dieser Einschränkung ist auf die im Übrigen mit der nötigen Beschwerdeberechtigung (Art. 48 Abs. 1 VwVG) sowie form- und fristgerecht (Art. 50 und 52 VwVG) eingereichte Beschwerde einzutreten. 1.31.3.1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Die vorliegende Streitsache, die einen Zeitraum von 2003 bis 2007 betrifft, ist demnach in materieller Hinsicht noch nach dem (alten) Bundesgesetz vom 2. September 1999 über die Mehrwertsteuer (aMWSTG, AS 2000 1300) zu beurteilen. 1.3.2 In prozessualer Hinsicht ist demgegenüber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 dass diesbezüglich noch altes Recht anwendbar ist. Keine Anwendung finden deshalb beispielsweise die Art. 70, 71, 72 oder 79 MWSTG, obwohl sie unter dem Titel «Verfahrensrecht für die Inland- und die Bezugsteuer» stehen (statt vieler: Urteil des Bundesverwaltungsgerichts A-4922/2012 vom 14. Juni 2013 E. 1.3 mit Hinweisen). Hingegen kann unter anderem Art. 81 MWSTG unter die von Art. 113 Abs. 3 MWSTG anvisierten Verfahrensbestimmungen subsumiert werden (Pascal Mollard/Xavier Oberson/Anne Tissot Benedetto, Traité TVA, Basel 2009, S. 1235 N 670).</w:t>
      </w:r>
    </w:p>
    <w:p>
      <w:r>
        <w:rPr>
          <w:b/>
        </w:rPr>
        <w:t>E. 1.4</w:t>
      </w:r>
    </w:p>
    <w:p>
      <w:r>
        <w:t>Im Verwaltungsverfahren und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(s. vorne E. 1.3.2).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4206/2012 vom 13. März 2013 E. 2.2.1).</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André Moser/Michael Beusch/Lorenz Kneubühler, Prozessieren vor dem Bundesverwaltungsgericht, Basel 2008, N 3.144).</w:t>
      </w:r>
    </w:p>
    <w:p>
      <w:r>
        <w:rPr>
          <w:b/>
        </w:rPr>
        <w:t>E. 2</w:t>
      </w:r>
    </w:p>
    <w:p>
      <w:r>
        <w:t>2.1 Der Mehrwertsteuer unterliegen die im Inland gegen Entgelt erbrachten Dienstleistungen und Lieferungen von Gegenständen (Art. 5 Bst. a und b aMWSTG).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w:t>
      </w:r>
    </w:p>
    <w:p>
      <w:r>
        <w:rPr>
          <w:b/>
        </w:rPr>
        <w:t>E. 2.3</w:t>
      </w:r>
    </w:p>
    <w:p>
      <w:r>
        <w:t>Die Veranlagung und Entrichtung der Mehrwertsteuer erfolgt nach dem Selbstveranlagungsprinzip (Art. 46 f. aMWSTG). Dieser Grundsatz besagt insbesondere, dass die steuerpflichtige Person ihre Steuerpflicht selbst festzustellen hat und allein für die vollständige, richtige und rechtzeitige Versteuerung ihrer steuerbaren Umsätze sowie für die korrekte Ermittlung ihrer Vorsteuern verantwortlich ist (vgl. statt vieler: BGE 137 II 136 E. 6.2; Ernst Blumenstein/Peter Locher, System des schweizerischen Steuerrechts, 6. Aufl., Zürich 2002, S. 421 ff.). Bei festgestellter Steuerpflicht hat die steuerpflichtige Person sodann selbst und unaufgefordert über ihre Umsätze und Vorsteuern abzurechnen und innerhalb von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aus dem Selbstveranlagungsprinzip fliessenden Pflichten nicht nachkommt (Art. 60 aMWSTG; vgl. Urteil des Bundesverwaltungsgerichts A-4922/2012 vom 14. Juni 2013 E. 2.3 mit Hinweisen). 2.42.4.1 Zu den Obliegenheiten der steuerpflichtigen Person gehört insbesondere die Buchführung. Gemäss Art. 58 Abs. 1 aMWSTG hat sie ihre Geschäftsbücher ordnungsgemäss zu führen und so einzurichten, dass sich daraus die für die Feststellung der Steuerpflicht sowie für die Berechnung der Steuer und der abziehbaren Vorsteuern massgebenden Tatsachen leicht und zuverlässig ermitteln lassen. 2.4.2 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die Feststellung der Steuerpflicht, besteht doch vor Entstehung der Steuerpflicht eben gerade noch keine steuerpflichtige Person, welche unter den Anwendungsbereich von Art. 58 Abs. 1 aMWSTG fallen könnte. Da jedoch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statt vieler: Urteil des Bundesverwaltungsgerichts A 4922/2012 vom 14. Juni 2013 E. 2.4.2). 2.4.3 Über die Buchführungspflicht kann die ESTV nähere Bestimmun-gen aufstellen (Art. 58 Abs. 1 aMWSTG).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f.) und sämtliche Eintragungen haben sich auf entsprechende Belege zu stützen, so dass die einzelnen Geschäftsvorfälle von der Eintragung in die Hilfs- und Grundbücher bis zur Steuerabrechnung und bis zum Jahresabschluss sowie in umgekehrter Richtung leicht und genau verfolgt werden können (sog. «Prüfspur»; vgl. Urteil des Bundesgerichts 2A.297/2005 vom 3. Februar 2006 E. 3.1). 2.4.4 Welche Aufzeichnungen von der steuerpflichtigen Person notwendiger- und sinnvollerweise zu führen sind, hängt von der Art und Grösse des Betriebes ab. Wer überwiegend Einnahmen aus formlos geschlossenen Verträgen erzielt, in der Regel bar bezahlt wird und nicht regelmässig Rechnungen oder zumindest Quittungen auszustellen hat, ist ohne Einschränkung zur Führung eines Kassabuches verpflichtet. Die Führung zumindest eines einfachen ordentlichen Kassabuchs ist gerade auch für Kleinbetriebe mit geringem Barverkehr unabdingbar. Soll das Kassabuch für die Richtigkeit des erfassten Bargeldverkehrs Beweis erbringen, ist unerlässlich, dass darin die Bareinnahmen und -ausgaben fortlaufend, lückenlos und zeitnah aufgezeichnet und durch Kassenstürze regelmässig - in bargeldintensiven Betrieben täglich - kontrolliert werden. Nur auf diese Weise ist gewährleistet, dass die erfassten Bareinnahmen vollständig sind, das heisst den effektiven Bareinnahmen entsprechen. Die zentrale Bedeutung eines korrekt geführten Kassabuchs ist allen Steuerarten gleichermassen eigen (vgl. Urteile des Bundesgerichts 2C_206/2012 vom 6. September 2012 E. 2.2, 2C_835/2011 vom 4. Juni 2012 E. 2.2.2; statt vieler: Urteil des Bundesverwaltungsgerichts A-4922/2012 vom 14. Juni 2013 E. 2.4.4 mit weiteren Hinweisen). 2.52.5.1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Diese Bestimmung ist auch heranzuziehen, falls mangels Aufzeichnungen - worunter nicht nur Geschäftsbücher im Sinne von Art. 58 Abs. 1 aMWSTG zu verstehen sind (vgl. dazu Pascal Mollard, TVA et taxation par estimation, veröffentlicht in: Archiv für Schweizerisches Abgaberecht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260). 2.5.2 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 des Bundesverwaltungsgerichts A-4922/2012 vom 14. Juni 2013 E. 2.5.2 mit Hinweisen). 2.62.6.1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Bundesgerichts 2A.552/2006 vom 1. Februar 2007 E. 3.2; Urteil des Bundesverwaltungsgerichts A-4922/2012 vom 14. Juni 2013 E. 2.6.1). 2.6.2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Urteile des Bundesgerichts 2C_970/2012 vom 1. April 2013 E. 4.1; Alois Camenzind/Niklaus Honauer/Klaus A. Vallender, Handbuch zum Mehrwertsteuergesetz [MWSTG], Bern 2003, 2. Aufl., N 1682).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Bundesverwaltungsgerichts A-4922/2012 vom 14. Juni 2013 E. 2.6.2 mit weiteren Hinweisen; Pascal Mollard, TVA et taxation par estimation, veröffentlicht in: ASA 69 S. 530 ff.). 2.6.3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A-852/2012 vom 27. September 2012 E. 2.3.4, A-689/2012 vom 31. Mai 2012 E. 2.6.3).</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 des Bundesverwaltungsgerichts A 1933/2012 vom 20. November 2012 E. 2.7.2 mit weiteren Hinweisen).</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statt vieler: Urteil des Bundesverwaltungsgerichts A-4922/2012 vom 14. Juni 2013 E. 2.7.4 mit weiteren Hinweisen). 2.82.8.1 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2.8.2 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A-4922/2012 vom 14. Juni 2013 E. 2.9.2). Diese Praxis wurde vom Bundesgericht bestätigt (vgl. bereits Urteil des Bundesgerichts 2C_426/2007 vom 22. November 2007 E. 4.3, ferner: Urteil des Bundesgerichts 2C_970/2012 vom 1. April 2013 E. 4.3). 2.8.3 Für das Vorliegen der Voraussetzungen zur Vornahme einer Ermessenseinschätzung ist nach der allgemeinen Beweislastregel die ESTV beweisbelastet (E. 1.4). Sind die Voraussetzungen erfüllt (erste Frage) und erscheint die vorinstanzliche Schätzung nicht bereits im Rahmen der durch das Bundesverwaltungsgericht mit der gebotenen Zurückhaltung (E. 2.8.2) vorzunehmenden Prüfung als pflichtwidrig (zweite Frage), obliegt es - in Umkehr der allgemeinen Beweislastregel - der steuerpflichtigen Person, den Nachweis für die Unrichtigkeit der Schätzung (dritte Frage) zu erbringen (vgl. statt vieler: Urteil des Bundesgerichts 2C_970/2012 vom 1. April 2013 E. 4.2; Urteile des Bundesverwaltungsgerichts A 4750/2012 vom 22. Juli 2013 E. 2.4.3,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w:t>
      </w:r>
    </w:p>
    <w:p>
      <w:r>
        <w:t>Im vorliegenden Fall hat die Vorinstanz die massgebenden Umsätze des Beschwerdeführers ermessensweise ermittelt. Nachfolgend ist daher auf einer ersten Stufe zu prüfen, ob sie das Vorliegen der Voraussetzungen für eine Ermessenseinschätzung zu Recht bejaht hat (vgl. E. 2.8.3).</w:t>
      </w:r>
    </w:p>
    <w:p>
      <w:r>
        <w:rPr>
          <w:b/>
        </w:rPr>
        <w:t>E. 3.1</w:t>
      </w:r>
    </w:p>
    <w:p>
      <w:r>
        <w:t>Die Vorinstanz nahm die fragliche Ermessensveranlagung im Wesentlichen deshalb vor, weil der Beschwerdeführer für den betreffenden Zeitraum unbestrittenermassen kein fortlaufend addiertes und periodisch saldiertes tagfertiges Kassabuch geführt hat. Der Beschwerdeführer bringt dagegen vor, er habe die getätigten Umsätze stattdessen durch «periodisches Ablesen des Taxameterstandes» erfasst. Es bestehe vorliegend kein Anlass, an der Vollständigkeit und Richtigkeit dieser Aufzeichnungen bzw. der entsprechenden Steuerdeklarationen zu zweifeln. Im Übrigen sei er zur Führung eines Kassabuches überhaupt nicht verpflichtet gewesen, da er nicht davon ausgegangen sei, unter die Mehrwertsteuerpflicht zu fallen. Ohnehin biete ein Kassabuch keine grössere Gewähr für die Korrektheit der darin enthaltenen Aufzeichnungen, weshalb das Fehlen eines solchen auch kein Grund für eine Ermessensveranlagung bilden könne.</w:t>
      </w:r>
    </w:p>
    <w:p>
      <w:r>
        <w:rPr>
          <w:b/>
        </w:rPr>
        <w:t>E. 3.1.1</w:t>
      </w:r>
    </w:p>
    <w:p>
      <w:r>
        <w:t>Dieser Argumentation des Beschwerdeführers kann nicht gefolgt werden. Nach der Rechtsprechung war er gehalten, durch geeignete Massnahmen periodisch zu überprüfen, ob er die Voraussetzungen der Steuerpflicht erfüllt (E. 2.4.2). Für diese Überprüfung ist zumindest die Führung eines Kassabuches zwingend erforderlich (E. 2.4.4). Die Bareinnahmen und Barausgaben müssen in diesem fortlaufend, lückenlos und zeitnah aufgezeichnet werden. Weil das betreffende Taxiunternehmen nach ständiger Rechtsprechung zudem einen bargeldintensiven Betrieb darstellt (vgl. Urteile des Bundesverwaltungsgerichts A 1933/2012 vom 20. November 2012 E. 3.1, A-4616/2011 vom 18. September 2012 E. 3.1, mit weiteren Hinweisen) hätte der Beschwerdeführer seine Bareinnahmen und -ausgaben ausserdem durch tägliche Kassenstürze kontrollieren müssen. Der Beschwerdeführer hat mithin schon deshalb gegen die formellen Buchführungsvorschriften verstossen (vgl. E. 2.4.4 und E. 2.5.1 f.), weil er kein tagfertiges - bzw. überhaupt kein - Kassabuch geführt hat. Es fehlen die sachverhaltsmässigen Grundlagen zur Beantwortung der Frage, ob und wie viel Mehrwertsteuer im zu beurteilenden Zeitraum geschuldet war. Die Voraussetzungen für die Vornahme einer Ermessenseinschätzung waren demnach gegeben, und zwar im Sinne der unter E. 2.5.2 hiervor dargelegten Konstellation 1 (= ungenügende Aufzeichnungen). Die Vorinstanz war deshalb nicht nur berechtigt, sondern verpflichtet, eine solche nach pflichtgemässem Ermessen vorzunehmen (E. 2.6.1). Unter diesen Umständen erübrigt es sich, auf die Erklärungen des Beschwerdeführers betreffend die Zunahme seines Privatvermögens - bzw. weshalb Konstellation 2 für eine Ermessenseinschätzung (= die ausgewiesenen Ergebnisse stimmen mit dem wirklichen Sachverhalt offensichtlich nicht überein) nicht vorliege (vgl. E. 2.5.2) - einzugehen.</w:t>
      </w:r>
    </w:p>
    <w:p>
      <w:r>
        <w:rPr>
          <w:b/>
        </w:rPr>
        <w:t>E. 3.1.2</w:t>
      </w:r>
    </w:p>
    <w:p>
      <w:r>
        <w:t>Im Übrigen wird das vorgebrachte «periodische Ablesen des Taxameterstandes» vom Beschwerdeführer bloss behauptet und ist durch keine entsprechenden Aufzeichnungen dokumentiert. Im Recht liegen einzig die Erfolgsrechnungen («Erfolgsbilanzen») der Jahre 2005 bis 2007, in denen jeweils das Total der in den betreffenden Jahren angeblich erzielten Einnahmen erfasst ist (vgl. z.B. vorinstanzliche Akten Nr. 4: «Erfolgsbilanz» 2006, «Einnahmen Januar - Dezember 2006: Fr. 51'432.--»). Sofern der Beschwerdeführer geltend machen wollte, diese Aufzeichnungen seien unter mehrwertsteuerlichen Gesichtspunkten ausreichend, so könnte ihm dabei mit Verweis auf die Ausführungen unter E. 3.1.1 hiervor nicht gefolgt werden.</w:t>
      </w:r>
    </w:p>
    <w:p>
      <w:r>
        <w:rPr>
          <w:b/>
        </w:rPr>
        <w:t>E. 3.1.3</w:t>
      </w:r>
    </w:p>
    <w:p>
      <w:r>
        <w:t>Irrelevant ist ferner das Vorbringen des Beschwerdeführers, die für die Veranlagung der direkten Steuern zuständigen Behörden hätten seine Aufzeichnungen - gemeint sind wohl insbesondere die soeben erwähnten «Erfolgsbilanzen» - als rechtsgenügend anerkannt. Die Rechtslage im Bereich der direkten Steuern ist in einem Mehrwertsteuerverfahren wie dem vorliegenden grundsätzlich nicht massgebend (vgl. etwa Urteil des Bundesgerichts 2C_206/2012 vom 6. September 2012 E. 3.2). Es handelt sich um verschieden geartete Steuersysteme, denen unterschiedliche Besteuerungsziele zugrunde liegen (vgl. BGE 123 II 295 E. 6b; BVGE 2007/23 E. 2.3.3).</w:t>
      </w:r>
    </w:p>
    <w:p>
      <w:r>
        <w:rPr>
          <w:b/>
        </w:rPr>
        <w:t>E. 3.1.4</w:t>
      </w:r>
    </w:p>
    <w:p>
      <w:r>
        <w:t>Der Vollständigkeit halber bleibt zu erwähnen, dass die Vorinstanz ihrer Untersuchungspflicht nachgekommen ist (E. 1.4). So forderte sie den Beschwerdeführer mit Schreiben vom 11. November 2008 sowie 3. Februar 2009 auf, relevante Unterlagen einzureichen. Zudem gab sie ihm vor Erlass ihres Entscheids vom 20. Oktober 2009 Gelegenheit, zur EA vom 2. Juni 2009 bzw. der darin enthaltenen Nachbelastung Stellung zu nehmen.</w:t>
      </w:r>
    </w:p>
    <w:p>
      <w:r>
        <w:rPr>
          <w:b/>
        </w:rPr>
        <w:t>E. 3.2</w:t>
      </w:r>
    </w:p>
    <w:p>
      <w:r>
        <w:t>Auf einer zweiten Stufe gilt es nun - mit der gebotenen Zurückhaltung (E. 2.8.2) - zu prüfen, ob ein Ermessensfehler der Vorinstanz bei der fraglichen Schätzung erkennbar ist.</w:t>
      </w:r>
    </w:p>
    <w:p>
      <w:r>
        <w:rPr>
          <w:b/>
        </w:rPr>
        <w:t>E. 3.2.1</w:t>
      </w:r>
    </w:p>
    <w:p>
      <w:r>
        <w:t>Die Vorinstanz berechnete zunächst das Total der in den jeweiligen Jahren mit dem Geschäftsfahrzeug des Beschwerdeführers zurückgelegten Kilometer anhand der für die Jahre 2005 bis 2008 eingereichten Fahrtenschreiberkarten. Zur Ermittlung der geschäftlich gefahrenen Kilometer zog sie von diesem Total den Arbeitsweg des Beschwerdeführers sowie pauschal 100 Privatkilometer pro Woche (bzw. 5'200 Privatkilometer pro Jahr) ab. Weitere behauptete Privatkilometer berücksichtigte die Vorinstanz indessen nicht, weil der Beschwerdeführer diese nicht belegt habe. Insbesondere könnten die an den (angeblichen) «Ruhetagen» mit dem Geschäftsfahrzeug zurückgelegten Kilometer nicht als belegte Privatkilometer akzeptiert werden. Im Rahmen einer stichprobenweisen Überprüfung habe sich nämlich ergeben, dass die Muster der Fahrtenschreiberkarten an den in den Arbeitszeitkontrollkarten vermerkten «Ruhetagen» in der Regel denjenigen Mustern gleiche, die an Arbeitstagen aufgezeichnet worden seien. Mit anderen Worten seien in den Fahrtenschreiberkarten auch an den «Ruhetagen» regelmässig über den Tag verteilt viele kurze Fahrten mit kurzen Pausen und Höchstgeschwindigkeiten um 60 km/h aufgezeichnet, was deutlich für geschäftliche Fahrten spreche. Beispielsweise sei der Fahrtenschreiberkarte vom 21. Februar 2005 (vorinstanzliche Akten Nr. 15) zu entnehmen, dass das Geschäftsfahrzeug des Beschwerdeführers zwischen 07:00 und 18:00 Uhr - mit Ausnahme einer längeren Pause zwischen 11:00 und 12:30 Uhr - ständig in Betrieb gewesen sei und viele kleinere Fahrten (gesamthaft 180 km) mit einer Höchstgeschwindigkeit um 60 km/h durchgeführt worden seien (weitere Beispiele finden sich unter E. 5.2 des angefochtenen Einspracheentscheids). Dem Beschwerdeführer gelinge es zudem nicht, plausibel zu erklären, dass es sich bei den entsprechenden Aufzeichnungen trotz dieser Unstimmigkeiten tatsächlich um Privatfahrten gehandelt habe. Unter diesen Umständen bestünden erhebliche Zweifel an der Vollständigkeit und Richtigkeit der in den Fahrtenschreiber- bzw. Arbeitszeitkontrollkarten vermerkten Privatfahrten bzw. «Ruhetagen», weshalb auf die entsprechenden Angaben nicht abgestellt werden könne. Mit Bezug auf das Jahr 2004, für das keine Fahrtenschreiberkarten vorlägen, rechtfertige es sich gemäss Vorinstanz, im Sinne einer Umlage von einer gleichen Anzahl geschäftlich gefahrener Kilometer auszugehen wie im Jahr 2005. Zur Begründung führt sie an, der vom Beschwerdeführer angegebene Treibstoffverbrauch in den jeweiligen Jahren weise etwa dieselbe Höhe auf, was auf vergleichbare Verhältnisse schliessen lasse. Schliesslich multiplizierte die Vorinstanz die so ermittelten geschäftlich gefahrenen Kilometer pro Jahr mit dem Erfahrungswert von Fr. 2.20 Umsatz pro geschäftlich gefahrenem Kilometer für «Tagchauffeure» in der Region Basel. Daraus ergaben sich die massgebenden Jahresumsätze (2004: Fr. 101'996.-- [Umlage des Jahres 2005]; 2005: Fr. 101'996.--; 2006: Fr. 90'040.--; 2007: Fr. 76'502.--; 2008: Fr. 70'742.--). Diese wurden wiederum mit dem anwendbaren Saldosteuersatz (4,6 % bis Juni 2004 bzw. 5,2 % ab Juli 2004) multipliziert, woraus sich die jeweilige jährliche Steuerzahllast ergab (2004: Fr. 4'998.--; 2005: Fr. 5'304.--; 2006: Fr. 4'682.--; 2007: Fr. 3'978.--; 2008: Fr. 3'665.--). Die für die Steuerpflicht wesentlichen Grenzen bezüglich Umsatz und Steuerzahllast wurden somit nach dieser Berechnung in den Jahren 2004 bis 2006 überschritten (vgl. E. 2.2). Gemäss Vorinstanz dürfe davon ausgegangen werden, dass dies auch im Jahr 2003 der Fall gewesen sei, weil der Treibstoffverbrauch des Beschwerdeführers in diesem Jahr nur geringfügig unter dem Niveau der Jahre 2004 und 2005 gelegen habe. Insgesamt sei daher zu Recht auf eine Steuerpflicht ab 1. Januar 2004 erkannt worden.</w:t>
      </w:r>
    </w:p>
    <w:p>
      <w:r>
        <w:rPr>
          <w:b/>
        </w:rPr>
        <w:t>E. 3.2.2</w:t>
      </w:r>
    </w:p>
    <w:p>
      <w:r>
        <w:t>Die Vorinstanz stützt ihre Berechnungen soweit möglich auf die vorhandenen objektiven Beweismittel. Sie legt allgemein in rechtsgenügender Weise dar, wie die Schätzung zustande gekommen ist. Insbesondere erscheint auch die pauschale Ermittlung der privat gefahrenen Kilometer bzw. die Nichtberücksichtigung der an den angeblichen «Ruhetagen» gefahrenen Kilometer nicht als offensichtlich pflichtwidrig. Die obgenannte Begründung der Vorinstanz, weshalb auf die entsprechenden Angaben des Beschwerdeführers nicht abgestellt werden könne, liegt nach einer Prüfung der diesbezüglichen Aktenlage durch das Bundesverwaltungsgericht im Rahmen des zulässigen Ermessens der Vorinstanz bei der Beweiswürdigung. Der Beschwerdeführer versucht diese Muster zwar mit Einkäufen, Spaziergängen, Restaurant- und Verwandtenbesuchen usw. zu erklären. Indessen sind die entsprechenden Vorbringen weder glaubhaft noch belegt. Die Anrechnung einer Pauschale von 100 Privatkilometer pro Woche entspricht sodann dem Vorgehen der Vorinstanz in anderen, ähnlich gelagerten Fällen und wurde dort - auf entsprechende Beschwerde hin - durch die Gerichte bereits mehrfach als angemessen beurteilt (vgl. etwa die Urteile des Bundesverwaltungsgerichts A 4616/2011 vom 18. September 2012 E. 3.2.2, A 6370/2011 vom 1. Juni 2012 E. 3.3.4, A 5166/2011 vom 3. Mai 2012 E. 3.3.1 sowie A 2690/2011 vom 24. Januar 2012 E. 3.4.4, letzteres bestätigt mit Urteil des Bundesgerichts 2C_206/2012 vom 6. September 2012 E. 4.1). Die Schätzung der Vorinstanz erscheint demnach - insbesondere auch mit Blick auf die sachverhaltlichen Grundlagen - nicht als erkennbar pflichtwidrig.</w:t>
      </w:r>
    </w:p>
    <w:p>
      <w:r>
        <w:rPr>
          <w:b/>
        </w:rPr>
        <w:t>E. 3.2.3</w:t>
      </w:r>
    </w:p>
    <w:p>
      <w:r>
        <w:t>Die Rüge des Beschwerdeführers, die Vorinstanz lege nicht dar, wie der Pauschalbetrag von 100 Privatkilometern pro Woche zustande gekommen sei, vermag an dieser Beurteilung nichts zu ändern. Vielmehr geht das Vorbringen bereits im Ansatz fehl. Der Beschwerdeführer scheint zu verkennen, dass mit dem Geschäftsfahrzeug zurückgelegte Privatkilometer als steuermindernde Tatsache grundsätzlich von ihm nachzuweisen sind. Wenn die Vorinstanz dennoch zugunsten des Beschwerdeführers pauschal 100 Privatkilometer pro Woche anrechnet, dann entspricht sie ihrer entgegenkommenden Praxis in Fällen wie dem vorliegenden, in denen die Steuerpflichtigen zumindest plausibel machen, dass sie ihr Geschäftsfahrzeug auch privat genutzt haben. Es ist unter diesen Umständen nicht einzusehen, weshalb die Vorinstanz dieses Entgegenkommen auch noch begründen bzw. - wie der Beschwerdeführer meint - «die Berechnungsgrundlagen [dafür] offen legen» sollte.</w:t>
      </w:r>
    </w:p>
    <w:p>
      <w:r>
        <w:rPr>
          <w:b/>
        </w:rPr>
        <w:t>E. 3.2.4</w:t>
      </w:r>
    </w:p>
    <w:p>
      <w:r>
        <w:t>Gegen die von der Vorinstanz vorgenommene Umlage der sich für das Jahr 2005 ergebenden Schätzung auf die Jahre 2003 und 2004 bringt der Beschwerdeführer im Übrigen nichts vor. Ein solches Vorgehen erscheint denn auch nicht erkennbar pflichtwidrig, zumal für den fraglichen Zeitraum keine verwertbaren Unterlagen, insbesondere keine Fahrtenschreiberkarten vorliegen, und das Abstellen auf den Treibstoffverbrauch ein durchaus taugliches Kriterium bildet, um die Vergleichbarkeit der Verhältnisse zu begründen (vgl. E. 2.6.3). Ebenfalls nicht bestritten ist die konkrete Berechnung der Steuerforderung durch die Vorinstanz. Inwiefern dieser Berechnungsfehler unterlaufen sein sollen, ist denn auch nicht ersichtlich. Anzumerken bleibt, dass die Vorinstanz praxisgemäss nicht nur bei der Bestimmung der Steuerzahllast, sondern auch bei der Berechnung der Steuerschuld die Saldosteuersatzmethode angewendet hat. Sie hat bei ihrer Schätzung somit unbelegte Vorsteuern berücksichtigt und ist damit dem Beschwerdeführer wiederum entgegengekommen. Das Bundesverwaltungsgericht sieht vorliegend keinen Anlass, dieses Entgegenkommen in Frage zu stellen, zumal auch dieses dem praxisgemässen Vorgehen der Vorinstanz entspricht.</w:t>
      </w:r>
    </w:p>
    <w:p>
      <w:r>
        <w:rPr>
          <w:b/>
        </w:rPr>
        <w:t>E. 3.3</w:t>
      </w:r>
    </w:p>
    <w:p>
      <w:r>
        <w:t>Die bisherigen Ausführungen ergeben, dass die Vorinstanz zur Vornahme einer Ermessenseinschätzung berechtigt war (s. E. 3.1) und diese - soweit erkennbar - pflichtgemäss vorgenommen hat (s. E. 3.2). Unter diesen Umständen obliegt es nun auf einer dritten Stufe dem Beschwerdeführer nachzuweisen, dass die Schätzung der Vorinstanz offensichtlich unrichtig ist bzw. dass dieser dabei erhebliche Ermessensfehler unterlaufen sind (E. 2.8.3).</w:t>
      </w:r>
    </w:p>
    <w:p>
      <w:r>
        <w:rPr>
          <w:b/>
        </w:rPr>
        <w:t>E. 3.3.1</w:t>
      </w:r>
    </w:p>
    <w:p>
      <w:r>
        <w:t>Der Beschwerdeführer bringt diesbezüglich zunächst vor, anhand der von ihm ins Recht gelegten Fahrtenschreiber- und Arbeitszeitkontrollkarten der Jahre 2005 bis 2008 sei erwiesen, dass er mit seinem Geschäftsfahrzeug tatsächlich mehr als die von der Vorinstanz pauschal angerechneten 5'200 Privatkilometer pro Jahr zurückgelegt habe. Ohnehin habe die Vorinstanz die eingereichten Fahrtenschreiberkarten nur stichprobenweise überprüft. Daher seien zumindest die Kilometerangaben an denjenigen «Ruhetagen», an denen das Fahrtenschreibermuster vom Muster eines gewöhnlichen Arbeitstages deutlich abweiche, als belegte Privatkilometer zu berücksichtigen.</w:t>
      </w:r>
    </w:p>
    <w:p>
      <w:r>
        <w:rPr>
          <w:b/>
        </w:rPr>
        <w:t>E. 3.3.1.1</w:t>
      </w:r>
    </w:p>
    <w:p>
      <w:r>
        <w:t>Der Beschwerdeführer ist in diesem Zusammenhang vorab darauf hinzuweisen, dass er als Taxichauffeur der Verordnung vom 6. Mai 1981 über die Arbeits- und Ruhezeit der berufsmässigen Führer von leichten Personentransportfahrzeugen und schweren Personenwagen (ARV 2, SR 822.222) untersteht (vgl. zum Geltungsbereich Art. 1 der Verordnung). Nach deren Art. 15 Abs. 1 und 2 hat ein Taxifahrer bei Privatfahrten die Pausenstellung (Stellung «0» oder «Stuhl») auf dem Fahrtenschreiber zu wählen. Lässt die Pausenstellung - wie offensichtlich im vorliegenden Fall - keine eindeutige Unterscheidung zwischen privaten und berufsmässigen Fahrten zu, so hat der Chauffeur eine fortlaufende Kontrolle über die von ihm getätigten Privatfahrten zu führen (Art. 15 Abs. 2 ARV 2 in der seit 1. November 2006 geltenden Fassung). Der Beschwerdeführer wäre demnach auch unter diesem - und nicht nur dem mehrwertsteuerlichen (E. 2.3 f.) - Blickwinkel verpflichtet gewesen, seine privaten Fahrten klar zu deklarieren. Selbst wenn mit dem Beschwerdeführer - entgegen der Vorinstanz - davon ausgegangen würde, dass zumindest einem Teil der eingereichten Fahrtenschreiberkarten in Verbindung mit den dazugehörigen Arbeitszeitkontrollkarten Beweiskraft bezüglich den während den eingetragenen «Ruhetagen» angeblich durchgeführten Privatfahrten zukäme, wäre damit allein für den Beschwerdeführer noch nichts gewonnen. Es ist nämlich nicht Aufgabe des Bundesverwaltungsgerichts, von sich aus die äusserst umfangreichen Unterlagen nach möglichen Privatfahrten zu durchsuchen. Der Nachweis und die kilometergenaue Bezifferung der Privatfahrten obliegt vielmehr dem Beschwerdeführer. Im vorliegenden Fall hätte er nachweisen müssen, weshalb und inwiefern mit Bezug auf welche, explizit genannte Fahrtenschreiberkarten die dargelegte vorinstanzliche Beweiswürdigung offensichtlich unrichtig ist. Dies hat er indes unterlassen. Die pauschale Anrechnung der Privatkilometer durch die Vorinstanz wird insofern nicht substantiiert bestritten. Es gelingt dem Beschwerdeführer nicht rechtsgenügend nachzuweisen, dass er mit dem fraglichen Geschäftsfahrzeug tatsächlich mehr Privatkilometer zurückgelegt hat als von der Vorinstanz pauschal angerechnet worden sind.</w:t>
      </w:r>
    </w:p>
    <w:p>
      <w:r>
        <w:rPr>
          <w:b/>
        </w:rPr>
        <w:t>E. 3.3.1.2</w:t>
      </w:r>
    </w:p>
    <w:p>
      <w:r>
        <w:t>Die vom Beschwerdeführer ebenfalls ins Recht gelegten Ergebnisse des «Mikrozensus 2005» des Bundesamtes für Statistik zum Verkehrsverhalten der Schweizer Bevölkerung ändern daran nichts. Dieses Dokument enthält Daten zum Verkehrsverhalten der Schweizer Bevölkerung, die offenbar mittels Telefonumfragen gewonnen wurden. Es ist nicht ersichtlich, inwiefern sich daraus die offensichtliche Unrichtigkeit der vorinstanzlichen Schätzung von wöchentlich 100 privat gefahrenen Kilometer im hier zu beurteilenden Fall ergeben soll. Es reicht auf dieser Prüfstufe nicht aus, allgemeine Kritik an den Kalkulationsgrundlagen der vorinstanzlichen Schätzung zu üben (E. 2.8.3). Vielmehr hätte der Beschwerdeführer - wie bereits mehrfach erwähnt - durch eigene kilometergenaue und belegte Aufstellungen seiner Privatfahrten nachweisen müssen, dass bzw. in welchem Umfang die pauschale Berücksichtigung von 5'200 Privatkilometern pro Jahr in seinem konkreten Fall offensichtlich zu tief bemessen ist.</w:t>
      </w:r>
    </w:p>
    <w:p>
      <w:r>
        <w:rPr>
          <w:b/>
        </w:rPr>
        <w:t>E. 3.3.1.3</w:t>
      </w:r>
    </w:p>
    <w:p>
      <w:r>
        <w:t>Soweit der Beschwerdeführer weitere sachverhaltliche Behauptungen aufstellt, weshalb bei ihm von mehr als 5'200 Privatkilometer pro Jahr auszugehen sei, so ist darauf nicht weiter einzugehen. Bei den entsprechenden Vorbringen handelt sich um blosse Behauptungen, die beweismässig in keiner Weise abgestützt sind. Der weitere Einwand des Beschwerdeführers, in seinem Fall sei schon deshalb von unterdurchschnittlichen Umsatzzahlen auszugehen, weil er aufgrund seiner Invalidität nur ein reduziertes Arbeitspensum absolviere, ist bereits deshalb unbehelflich, weil für die vorliegende Ermessenseinschätzung nicht der Umfang des Arbeitspensums massgebend ist, sondern die Anzahl geschäftlich gefahrener Kilometer. Im Übrigen erfassen die Erfahrungszahlen der Vorinstanz auch Teilzeitangestellte.</w:t>
      </w:r>
    </w:p>
    <w:p>
      <w:r>
        <w:rPr>
          <w:b/>
        </w:rPr>
        <w:t>E. 3.3.2</w:t>
      </w:r>
    </w:p>
    <w:p>
      <w:r>
        <w:t>Weiter macht der Beschwerdeführer gegen die Sachgerechtigkeit der vorinstanzlichen Schätzung geltend, gemäss «Vertretern der Taxibranche» erziele ein Taxifahrer einen jährlichen Umsatz von durchschnittlich (lediglich) Fr. 60'000.--. Die Vorinstanz sei daher anzuweisen, «über den durchschnittlichen Jahresumsatz pro Taxifahrer bei Taxiunternehmen mit mehreren Chauffeuren» Auskunft zu erteilen.</w:t>
      </w:r>
    </w:p>
    <w:p>
      <w:r>
        <w:rPr>
          <w:b/>
        </w:rPr>
        <w:t>E. 3.3.2.1</w:t>
      </w:r>
    </w:p>
    <w:p>
      <w:r>
        <w:t>Soweit der Beschwerdeführer damit geltend machen wollte, der von der Vorinstanz aufgrund ihrer Erfahrungswerte angewendete Ansatz von Fr. 2.20 Umsatz pro geschäftlich gefahrenem Kilometer bei «Tagchauffeuren» erweise sich in seinem Fall als nicht sachgerecht, so ist er zunächst daran zu erinnern, dass er für diese Behauptung die Beweislast trägt (E. 2.8.3). Die Vorinstanz war zur vorliegenden Schätzung nämlich berechtigt und diese erweist sich soweit als pflichtgemäss (E. 3.1 und E. 3.2). Zudem zog die Vorinstanz die fraglichen Erfahrungszahlen nicht im Rahmen der Prüfung der Voraussetzungen der Ermessensveranlagung heran, sondern für die Vornahme der eigentlichen Schätzung. Insofern wäre auf dieser Prüfstufe - auf der eben der Beschwerdeführer beweisbelastet ist - auf sein Vorbringen nicht weiter einzugehen, zumal er in keiner Weise nachweist, dass bzw. weshalb die von der Vorinstanz angewandten Erfahrungszahlen in seinem Fall nicht sachgerecht sind. Zu prüfen bleibt allerdings, ob die Vorinstanz dem Beschwerdeführer diesen Nachweis ermöglicht hat, indem sie ihm die Grundlagen der angewandten Erfahrungszahlen kundgab und aufgezeigt hat, inwiefern diese auch die individuellen Verhältnisse seines Betriebs berücksichtigen (E. 2.7.3). Dabei handelt es sich um eine Frage, die im Prüfsystem des vorliegenden Urteils streng genommen unter E. 3.2 hiervor anzusiedeln wäre. Dies deshalb, weil eine nicht rechtsgenügend begründete Heranziehung von Erfahrungszahlen durch die Vorinstanz eine sachgerechte Anfechtung dieser Werte von vornherein verunmöglichte und daher - auch bei einer zurückhaltenden Prüfung - als erkennbar pflichtwidrig erschiene. Aus Gründen der Praktikabilität und Lesbarkeit wird die Frage dennoch (erst) an dieser Stelle behandelt.</w:t>
      </w:r>
    </w:p>
    <w:p>
      <w:r>
        <w:rPr>
          <w:b/>
        </w:rPr>
        <w:t>E. 3.3.2.2</w:t>
      </w:r>
    </w:p>
    <w:p>
      <w:r>
        <w:t>Gemäss den Ausführungen im angefochtenen Einspracheentscheid stützte sich die Vorinstanz bei der vorliegenden Schätzung auf insgesamt 28 Datensätze aus den Jahren 2000 und 2001. Die betreffenden Erhebungen erfassten vollzeit- und teilzeitangestellte Chauffeure von diversen Taxibetrieben in der Stadt Basel, bei denen bekannt gewesen sei, dass sie - wie der Beschwerdeführer - vorwiegend am Tag (06:00 bis 20:00 Uhr) gearbeitet hätten. Um ein repräsentatives Ergebnis zu erzielen, sei bei der Datenerhebung darauf geachtet worden, dass es sich bei den einbezogenen Taxifahrern um solche handle, die zum Erhebungszeitpunkt bereits während mindestens sechs Monaten beim entsprechenden Taxiunternehmen angestellt gewesen seien. Im Weiteren seien im Datensatz alle Arten von Fahrten wie «Flughafen, Kundenkarte, Kreditfahrten, Chemie (Novartis/Roche etc.)» sowie Fahrten zu reduzierten Spezialpreisen berücksichtigt worden (s. Ziff. 4.3 und 5.3.1 des Einspracheentscheids). Der Umsatz pro Schicht habe sich in den Jahren 2000 und 2001 zwischen Fr. 151.-- und Fr. 483.-- bewegt. Aufgrund der Tariferhöhungen in den Jahren 2003 bis 2007 würde der Umsatz pro Schicht in der vorliegend massgebenden Kontrollperiode indes höher ausfallen. Allerdings habe sich die Vorinstanz vorliegend ohnehin gegen die Schätzungsmethode «Umsatz pro Schicht» und für die Methode «Umsatz pro Kilometer» entschieden, da bei dieser Methode die Streuung der Werte deutlich kleiner und es daher wahrscheinlicher sei, dass das Schätzungsergebnis der wirklichen Situation näher komme. Der Umsatz pro geschäftlich gefahrenem Kilometer liege zwischen Fr. 1.70 und Fr. 2.45, der Mittelwert bei Fr. 2.11 und der Median bei Fr. 2.15. Um der Tatsache Rechnung zu tragen, dass in diesen Werten keine Trinkgelder enthalten seien, sei der Durchschnittstarif (Mittelwert) auf Fr. 2.20 Umsatz pro geschäftlich gefahrenem Kilometer angehoben worden, was einem geschätzten Trinkgeld von 5 % entspreche. Im Übrigen seien in diesem Erfahrungswert auch bereits diverse Leer- und Privatfahrten berücksichtigt (vgl. die beispielhafte Aufzählung in Ziff. 5.3.1 des Einspracheentscheids).</w:t>
      </w:r>
    </w:p>
    <w:p>
      <w:r>
        <w:rPr>
          <w:b/>
        </w:rPr>
        <w:t>E. 3.3.2.3</w:t>
      </w:r>
    </w:p>
    <w:p>
      <w:r>
        <w:t>Die Vorinstanz ist mit diesen Ausführungen, die hier zudem nur gekürzt wiedergegeben werden, ihrer Pflicht, die Art und Weise der Ermittlung der Erfahrungszahlen kundzutun, nachgekommen. Sie zeigt detailliert auf, wie sie die Erfahrungszahlen der «Tagchauffeure» der Stadt Basel und Umgebung ermittelt hat. Die Datenerhebung kann mit 28 Datensätzen als genügend breit und für den Beschwerdeführer repräsentativ bezeichnet werden. In Ziff. 5.3.2 des angefochtenen Einspracheentscheids legt die Vorinstanz auch explizit und detailliert dar, weshalb die Verhältnisse im Taxibetrieb des Beschwerdeführers nicht auf den vom ihm - ohnehin lediglich im Einspracheverfahren - behaupteten unterdurchschnittlichen Umsatz von Fr. 1.25 bis Fr. 1.66 in den Jahren 2005 bis 2008 schliessen liessen bzw. inwiefern der Beschwerdeführer mit den im Datensatz erfassten Betrieben vergleichbar sei. Der Beschwerdeführer bringt im vorliegenden Verfahren - wie erwähnt - denn auch keine entsprechende Behauptung mehr vor. In der Tat bestehen vorliegend keine Hinweise auf, geschweige denn Belege für, individuelle Verhältnisse beim Beschwerdeführer, die es als sachgerecht erscheinen liessen, vom von der Vorinstanz angewandten Erfahrungsmittelwert von Fr. 2.11 zuzüglich 5 % Trinkgeld abzuweichen. Gewisse Ungenauigkeiten, die sich systemimmanent bei der Ermittlung von Erfahrungswerten ergeben, sind vom Beschwerdeführer in Kauf zu nehmen. Durch ordnungsgemässe Aufzeichnungen hätte er es selbst in der Hand gehabt, von vornherein Klarheit über seine tatsächlich erzielten Umsätze zu schaffen (vgl. Urteil des Bundesgerichts 2C_429/2009 vom 9. November 2009 E. 5.2).</w:t>
      </w:r>
    </w:p>
    <w:p>
      <w:r>
        <w:rPr>
          <w:b/>
        </w:rPr>
        <w:t>E. 3.3.3</w:t>
      </w:r>
    </w:p>
    <w:p>
      <w:r>
        <w:t>Im Ergebnis misslingt dem Beschwerdeführer der Nachweis für die offensichtliche Unrichtigkeit der vorinstanzlichen Schätzung.</w:t>
      </w:r>
    </w:p>
    <w:p>
      <w:r>
        <w:rPr>
          <w:b/>
        </w:rPr>
        <w:t>E. 3.4</w:t>
      </w:r>
    </w:p>
    <w:p>
      <w:r>
        <w:t>Der angefochtene Einspracheentscheid erweist sich somit insgesamt als rechtmässig und die dagegen erhobene Beschwerde ist abzuweisen, soweit darauf einzutreten ist. Auf die Einholung durch die Vorinstanz der vom Beschwerdeführer verlangten Auskunft «über den durchschnittlichen Jahresumsatz pro Taxifahrer bei Taxiunternehmen mit mehreren Chauffeuren» ist in antizipierter Beweiswürdigung zu verzichten (E. 1.5). Zum einen ist nicht davon auszugehen, dass sich die vorliegend verwendete Datenbasis mit einer solchen Auskunft entkräften liesse, zum anderen obläge es unter den geschilderten Umständen grundsätzlich dem Beschwerdeführer und nicht der Vorinstanz, den Nachweis für die von ihm behaupteten Fr. 60'000.-- Jahresumsatz zu erbringen. 4.Ausgangsgemäss sind die Verfahrenskosten, die auf Fr. 2'900.-- festzusetzen sind, dem Beschwerdeführer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