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A-5827/2022 vom 25. Oktober 2023</w:t>
      </w:r>
    </w:p>
    <w:p>
      <w:r>
        <w:t>Bundesverwaltungsgericht, 2023-10-25, DE</w:t>
      </w:r>
    </w:p>
    <w:p>
      <w:r>
        <w:rPr>
          <w:b/>
        </w:rPr>
        <w:t xml:space="preserve">Quelle: </w:t>
      </w:r>
      <w:r>
        <w:t>https://mcp.opencaselaw.ch/entscheid/bvger_A-5827_2022</w:t>
      </w:r>
    </w:p>
    <w:p>
      <w:r>
        <w:t>FR: TAF A-5827/2022 du 25 octobre 2023</w:t>
      </w:r>
    </w:p>
    <w:p>
      <w:r>
        <w:t>IT: TAF A-5827/2022 del 25 ottobre 2023</w:t>
      </w:r>
    </w:p>
    <w:p>
      <w:pPr>
        <w:pStyle w:val="Heading2"/>
      </w:pPr>
      <w:r>
        <w:t>Regeste</w:t>
      </w:r>
    </w:p>
    <w:p>
      <w:r>
        <w:t>Zölle</w:t>
      </w:r>
    </w:p>
    <w:p>
      <w:pPr>
        <w:pStyle w:val="Heading2"/>
      </w:pPr>
      <w:r>
        <w:t>Erwägungen</w:t>
      </w:r>
    </w:p>
    <w:p>
      <w:r>
        <w:rPr>
          <w:b/>
        </w:rPr>
        <w:t>E. 1.1</w:t>
      </w:r>
    </w:p>
    <w:p>
      <w:r>
        <w:t>Gemäss Art. 31 des Verwaltungsgerichtsgesetzes vom 17. Juni 2005 (VGG, SR 172.32) beurteilt das Bundesverwaltungsgericht Beschwerden gegen Verfügungen nach Art. 5 des Verwaltungsverfahrensgesetzes vom 20. Dezember 1968 (VwVG, SR 172.201). Die Zollkreisdirektionen (darunter der Zoll West) gehören als Behörden nach Art. 33 VGG zu den Vorinstanzen des Bundesverwaltungsgerichts. Eine das Sachgebiet betreffende Ausnahme im Sinne von Art. 32 VGG liegt nicht vor. Das Bundesverwaltungsgericht ist folglich für die Beurteilung der vorliegenden Sache zuständig (vgl. auch Art. 116 des Zollgesetzes vom 18. März 2005 [ZG, SR 631.0]).</w:t>
      </w:r>
    </w:p>
    <w:p>
      <w:r>
        <w:rPr>
          <w:b/>
        </w:rPr>
        <w:t>E. 1.2</w:t>
      </w:r>
    </w:p>
    <w:p>
      <w:r>
        <w:t>Das Beschwerdeverfahren richtet sich nach den Bestimmungen des Verwaltungsverfahrensgesetzes, soweit das Verwaltungsgerichtsgesetz nichts anderes bestimmt (Art. 37 VGG).</w:t>
      </w:r>
    </w:p>
    <w:p>
      <w:r>
        <w:rPr>
          <w:b/>
        </w:rPr>
        <w:t>E. 1.3.1</w:t>
      </w:r>
    </w:p>
    <w:p>
      <w:r>
        <w:t>Die Beschwerdeführerin hat sich am vorinstanzlichen Verfahren beteiligt. Sie ist Adressatin der angefochtenen Verfügung und mit dieser formell und materiell beschwert. Sie hat ein schutzwürdiges Interesse an deren Aufhebung (Art. 48 Abs. 1 VwVG). Die Beschwerde wurde frist- und formgerecht eingereicht (Art. 50 Abs. 1, Art. 52 Abs. 1 VwVG). Auf die Beschwerde ist - unter Vorbehalt der nachfolgenden E. 1.3.2 - einzutreten.</w:t>
      </w:r>
    </w:p>
    <w:p>
      <w:r>
        <w:rPr>
          <w:b/>
        </w:rPr>
        <w:t>E. 1.3.2</w:t>
      </w:r>
    </w:p>
    <w:p>
      <w:r>
        <w:t>Anfechtungsobjekt im Verfahren vor dem Bundesverwaltungsgericht bildet einzig der vorinstanzliche Entscheid, soweit er im Streit liegt (vorliegend der Entscheid vom 10. November 2022). Das Anfechtungsobjekt bildet den Rahmen, welcher den möglichen Umfang des Streitgegenstandes begrenzt (BGE 133 II 35 E. 2). Soweit die Beschwerdeführerin auch die Aufhebung der Veranlagungsverfügung vom 19. Juli 2022 beantragt, gilt diese infolge des Devolutiveffekts als inhaltlich mitangefochten (vgl. statt vieler: BGE 134 II 142 E. 1.4). Auf das sich auf diese Veranlagungsverfügung beziehende Begehren (Rechtsbegehren Ziff. 2 der Beschwerdeführerin) ist folglich nicht einzutreten.</w:t>
      </w:r>
    </w:p>
    <w:p>
      <w:r>
        <w:rPr>
          <w:b/>
        </w:rPr>
        <w:t>E. 1.4</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der in den Anhängen 1 und 2 des ZTG enthalten ist.</w:t>
      </w:r>
    </w:p>
    <w:p>
      <w:r>
        <w:rPr>
          <w:b/>
        </w:rPr>
        <w:t>E. 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zum Ganzen: Remo Arpagaus, Zollrecht, in: Koller et al. [Hrsg.], Schweizerisches Bundesverwaltungsrecht, Bd. XII, 2. Aufl. 2007, Rz. 569; zum Ganzen: Urteil des BVGer A-5562/2019 vom 27. Dezember 2021 E. 2.2).</w:t>
      </w:r>
    </w:p>
    <w:p>
      <w:r>
        <w:rPr>
          <w:b/>
        </w:rPr>
        <w:t>E. 2.3</w:t>
      </w:r>
    </w:p>
    <w:p>
      <w:r>
        <w:t>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A-3485/2020 vom 25. Januar 2021 E. 2.2; A-6248/2018 vom 8. Januar 2020 E. 3.2; Thomas Cottier/David Herren, in: Kocher/Clavadetscher [Hrsg.], Handkommentar Zollgesetz [ZG], 2009, Einleitung N 103; zum Ganzen: Urteil des BVGer A-5562/2019 vom 27. Dezember 2021 E. 2.2).</w:t>
      </w:r>
    </w:p>
    <w:p>
      <w:r>
        <w:rPr>
          <w:b/>
        </w:rPr>
        <w:t>E. 2.4</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abgerufen werden (www.bazg.admin.ch bzw. www.tares.ch). Dasselbe gilt für den Gebrauchstarif (Art. 15 Abs. 2 und Anhänge 1 und 2 ZTG). Trotz fehlender Veröffentlichung in der AS kommt dem Generaltarif Gesetzesrang zu (statt vieler: BGE 142 II 433 E. 5; Urteil des BVGer A-5204/2019 vom 7. Juli 2021 E. 2.4; Beusch/Schnell Luchsinger, Wie harmonisiert ist das Harmonisierte System wirklich?, in: Zollrevue 1/2017, S. 12; Cottier/Herren, a.a.O., Einleitung N 96 ff.; zum Ganzen: Urteil des BVGer A-5562/2019 vom 27. Dezember 2021 E. 2.3).</w:t>
      </w:r>
    </w:p>
    <w:p>
      <w:r>
        <w:rPr>
          <w:b/>
        </w:rPr>
        <w:t>E. 2.5.1</w:t>
      </w:r>
    </w:p>
    <w:p>
      <w:r>
        <w:t>Die Vertragsstaaten des HS-Übereinkommens - darunter die Schweiz -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2.5.4) sowie alle Abschnitt-, Kapitel- und Unternummern-Anmerkungen anzuwenden. Sie dürfen den Geltungsbereich der Abschnitte, Kapitel, Nummern oder Unternummern des HS nicht verändern und haben seine Nummernfolge einzuhalten (Art. 3 Abs. 1 Bst. a des HS-Übereinkommens; vgl. zum Ganzen: Urteil des BVGer A-5562/2019 vom 27. Dezember 2021 E. 2.4.1 m.w.H.).</w:t>
      </w:r>
    </w:p>
    <w:p>
      <w:r>
        <w:rPr>
          <w:b/>
        </w:rPr>
        <w:t>E. 2.5.2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Eidgenossenschaft vom 18. April 1999 [BV, SR 101]), ist diesfalls das Bundesverwaltungsgericht an die gesamte achtstellige Nomenklatur gebunden (vgl. statt vieler: Urteile des BVGer A-5204/2019 vom 7. Juli 2021 E. 2.5.2 und A-6248/2018 vom 8. Januar 2020 E. 3.4.2; siehe auch Arpagaus, a.a.O., Rz. 578; zum Ganzen: Urteil des BVGer A-5562/2019 vom 27. Dezember 2021 E. 2.4.2).</w:t>
      </w:r>
    </w:p>
    <w:p>
      <w:r>
        <w:rPr>
          <w:b/>
        </w:rPr>
        <w:t>E. 2.5.3</w:t>
      </w:r>
    </w:p>
    <w:p>
      <w:r>
        <w:t>Die Vertragsstaaten des HS-Übereinkommens beabsichtigen eine einheitliche Auslegung der völkerrechtlich festgelegten Nomenklatur (vgl. Art. 7 Abs. 1 Bst. b und c und Art. 8 Abs. 2 des HS-Übereinkommens). Hierzu dienen u.a. die «Avis de classement» (nachfolgend: Einreihungs-avise) und die «Notes explicatives du Système Harmonisé» (nachfolgend: Erläuterungen), welche vom Rat für die Zusammenarbeit auf dem Gebiet des Zollwesens (Weltzollrat; heute: Weltzollorganisation) auf Vorschlag des Ausschusses des HS genehmigt worden sind (Art. 1 Bst. e und f i.V.m. Art. 7 Abs. 1 Bst. a-c i.V.m. Art. 8 Abs. 2 und 3 des HS-Übereinkommens). Die Vertragsstaaten haben diesen Vorschriften bei der nationalen Zolltarifeinreihung grundsätzlich Folge zu leisten. Nach jüngster bundesgerichtlicher Rechtsprechung darf nur davon abgewichen werden, wenn zwingende Gründe gegen die Anwendung der Vorschriften sprechen (vgl. BGE 147 II 441 E. 4.5.2). Die Vertragsstaaten haben nach Art. 7 Abs. 1 sowie Art. 8 Abs. 1 und 2 des HS-Übereinkommens die Möglichkeit, die Überprüfung oder Änderung der Erläuterungen und der Einreihungsavise zu veranlassen. Trotz dieser Ausgangslage bleibt Raum für nationale Regelungen. So kann die OZD zum Beispiel zusätzlich sog. schweizerische Erläuterungen oder Entscheide erlassen. Diese können unter www.tares.ch abgerufen werden. Die schweizerischen Erläuterungen und Entscheide sind als Dienstvorschriften (Arpagaus, a.a.O., Rz. 579) bzw. Verwaltungsverordnungen für die Justizbehörden nicht verbindlich (zur Rechtsnatur und Bindungswirkung von Verwaltungsverordnungen statt vieler: BGE 141 V 175 E. 2.1; André Moser et al., Prozessieren vor dem Bundesverwaltungsgericht, 2. Aufl. 2013, Rz. 2.173 f.; statt vieler: Urteil des BVGer A-5204/2019 vom 7. Juli 2021 E. 2.5.1 m.w.H.; zum Ganzen: Urteil des BVGer A-5562/2019 vom 27. Dezember 2021 E. 2.4.3).</w:t>
      </w:r>
    </w:p>
    <w:p>
      <w:r>
        <w:rPr>
          <w:b/>
        </w:rPr>
        <w:t>E. 2.5.4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A-5204/2019 vom 7. Juli 2021 E. 2.5.4, A-3485/2020 vom 25. Januar 2021 E. 2.4.4). Das gleiche gilt nach Ziff. 6 AV für die Tarifeinreihung einer Ware in die Unternummern (zum Ganzen: Urteil des BVGer A-5562/2019 vom 27. Dezember 2021 E. 2.4.4).</w:t>
      </w:r>
    </w:p>
    <w:p>
      <w:r>
        <w:rPr>
          <w:b/>
        </w:rPr>
        <w:t>E. 2.5.5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 des BVGer A-5204/2019 vom 7. Juli 2021 E. 2.5.5). Ist letzteres nicht der Fall, kommt dem Verwendungszweck wie auch dem Preis, der Verpackung und der Bezeichnung durch den Hersteller oder Empfänger der Ware lediglich hinweisende, nicht aber ausschlaggebende Bedeutung zu (statt vieler: Urteil des BVGer A-3485/2020 vom 25. Januar 2021 E. 2.4.5; zum Ganzen: Urteil des BVGer A-5562/2019 vom 27. Dezember 2021 E. 2.5).</w:t>
      </w:r>
    </w:p>
    <w:p>
      <w:r>
        <w:rPr>
          <w:b/>
        </w:rPr>
        <w:t>E. 2.6</w:t>
      </w:r>
    </w:p>
    <w:p>
      <w:r>
        <w:t>Dem Schweizerischen Gebrauchstarif war im Zeitpunkt der streitbetroffenen Einfuhr vom 14. März 2022 - soweit vorliegend interessierend - aus dem einschlägigen Kapitel (Lebende Tiere und Waren tierischen Ursprungs; Fleisch von Tieren der Schweinegattung, gefroren), Einfuhr aus Portugal, Folgendes zu entnehmen (vgl. Sachverhalt, Bst. A.a). Tarifnummer Text Zollansätze 0203.2991 Carrés und Teile davon Normal Fr. 2'304.- je 100 kg brutto 0203.2999 anderes Normal Fr. 329.- je 100 kg brutto Die Schweizerischen Erläuterungen zur Tarifnummer 0203.2991 halten - soweit vorliegend relevant - Folgendes fest: «Schweinscarrés im Sinne dieser Nummer bestehen aus dem Hals, dem Kotelettstück, dem Nierstück, dem Filet und, je nach Zerteilung des Tierkörpers, der Huft. Als Teile von Carrés gelten der Hals, das Kotelettstück, das Nierstück und das Filet. Separat eingeführte Huftstücke sind als "anderes" einzureihen.»</w:t>
      </w:r>
    </w:p>
    <w:p>
      <w:r>
        <w:rPr>
          <w:b/>
        </w:rPr>
        <w:t>E. 3.1</w:t>
      </w:r>
    </w:p>
    <w:p>
      <w:r>
        <w:t>Im vorliegenden Fall geht es um die Tarifeinreihung der aus Portugal eingeführten Fleischstücke mit der Bezeichnung «Porco Preto Secretos Cong. VC Seg Montado».</w:t>
      </w:r>
    </w:p>
    <w:p>
      <w:r>
        <w:rPr>
          <w:b/>
        </w:rPr>
        <w:t>E. 3.2</w:t>
      </w:r>
    </w:p>
    <w:p>
      <w:r>
        <w:t>Mit Urteil des Bundesverwaltungsgerichts vom 29. August 2022 im Verfahren A-5145/2021 hatte das Bundesverwaltungsgericht in einem ähnlichen Fall entschieden, dass die Vorinstanz zur Überprüfung der Tarifierung von Schweinefleischerzeugnissen mit der Bezeichnung «Secreto Ibérico» weitere Abklärungen vorzunehmen habe. Diese Abklärungen nahm die Vorinstanz nach eigenen Angaben am 24. April 2023 im Ausbildungszentrum für die Schweizer Fleischwirtschaft in Spiez vor (vgl. S. 2 f. der Vernehmlassung vom 15. Juni 2023). Es fand eine Zerlegung von zwei Schweinehälften nach schweizerischer und nach spanischer Schnittführung statt, wobei überprüft wurde, ob der gewichtsmässig vorherrschende Anteil der Schweinefleischstücke «Secreto Ibérico» im Karree- oder Brustbereich liegt. Die Überprüfung hat ergeben, dass nach spanischer Schnittführung der Grossteil der Fleischstücke (mit rund 2/3) aus der Brust stammt, was daran liegt, dass die Schulter vor der Auslösung der Fleischstücke als Ganzes abgetrennt wird.</w:t>
      </w:r>
    </w:p>
    <w:p>
      <w:r>
        <w:rPr>
          <w:b/>
        </w:rPr>
        <w:t>E. 3.3</w:t>
      </w:r>
    </w:p>
    <w:p>
      <w:r>
        <w:t>Die Vorinstanz liess auch die von der Beschwerdeführerin eingeführten und anlässlich der Beschau entnommenen Schweinefleischerzeugnisse aufgrund der Ergebnisse der Untersuchung in Spiez nochmals überprüfen. Es stellte sich heraus, dass die Fleischstücke mit der Bezeichnung «Porco Preto Secretos Cong. VC Seg Montado» aufgrund ihrer Art und Beschaffenheit weder vollständig aus dem Karree stammen noch aus dem Karree stammende Fleischanteile aufweisen. Die Vorinstanz stellte sodann fest, dass es sich wahrscheinlich um Fleischstücke aus dem Bereich des Halsspecks handle, weshalb das Schweinefleisch «Porco Preto Secretos Cong. VC Seg Montado» nicht als «Karree» zu klassifizieren sei (vgl. S. 4 der Vernehmlassung vom 15. Juni 2023). Diese Ausführungen sind überzeugend und decken sich mit den Vorbringen der Beschwerdeführerin. Unerheblich ist dabei, ob es sich vorliegend um «secreto de barriga» aus dem Bauchbereich - wie von der Beschwerdeführerin ausgeführt - oder um «falso secreto» aus dem Halsbereich handelt, da in beiden Fällen die Zolltarifnummer 0203.2999 Anwendung findet. Zwar liegen weder der Bericht über die Untersuchung im Ausbildungszentrum für die Schweizer Fleischwirtschaft in Spiez vom 24. April 2023 noch die Ergebnisse der Überprüfung der Erzeugnisse des vorliegenden Falls im Recht, was entweder eine Verletzung der sich aus Art. 29 Abs. 2 BV ergebenden Aktenführungspflicht der Vorinstanz (vgl. BGE 138 V 218 E. 8.1.2; Urteil des BVGer A-714/2018 vom 23. Januar 2019 E. 3.1) oder der Verpflichtung der Vorinstanz, sämtliche verfahrensbezogenen Akten dem Bundesverwaltungsgericht einzureichen, darstellt. Allerdings besteht aufgrund der übereinstimmenden Anträge der Parteien und der nachvollziehbaren Ausführungen der Vorinstanz sowie unter Berücksichtigung des Gebots der Prozessökonomie kein Grund, an den Vorbringen zu zweifeln oder weitere Untersuchungen vorzunehmen. Daraus folgt, dass die strittigen Fleischstücke mit der Bezeichnung «Porco Preto Secretos Cong. VC Seg Montado» unter die Zolltarifnummer 0203.2999 fallen.</w:t>
      </w:r>
    </w:p>
    <w:p>
      <w:r>
        <w:rPr>
          <w:b/>
        </w:rPr>
        <w:t>E. 3.4</w:t>
      </w:r>
    </w:p>
    <w:p>
      <w:r>
        <w:t>Aus der Anwendung der Zolltarifnummer 0203.2999 mit einem Zollansatz von Fr. 329.- je 100 kg (vgl. E. 2.6) für die am 14. Juli 2022 von der Zollanmelderin für die Beschwerdeführerin deklarierten Schweinefleischerzeugnisse folgt, dass die Veranlagungsverfügung Zoll vom 19. Juli 2022 (act. 4) gemäss der Einfuhrzollanmeldung vom 4. Juli 2022 (Version 1, act. 1) zu korrigieren ist und die Vorinstanz eine Neuberechnung der Zollabgabe vorzunehmen hat.</w:t>
      </w:r>
    </w:p>
    <w:p>
      <w:r>
        <w:rPr>
          <w:b/>
        </w:rPr>
        <w:t>E. 3.5</w:t>
      </w:r>
    </w:p>
    <w:p>
      <w:r>
        <w:t>Nach dem Gesagten ist die Beschwerde im Sinne der Erwägungen gutzuheissen, soweit darauf einzutreten ist. Der Entscheid der Vorinstanz vom 17. November 2022 ist aufzuheben und die Sache ist zur Neuberechnung respektive Neuveranlagung der Zollabgabe und Neuverlegung der Kosten des vorinstanzlichen Verfahrens an die Vorinstanz zurückzuweisen.</w:t>
      </w:r>
    </w:p>
    <w:p>
      <w:r>
        <w:rPr>
          <w:b/>
        </w:rPr>
        <w:t>E. 4.1</w:t>
      </w:r>
    </w:p>
    <w:p>
      <w:r>
        <w:t>Der Beschwerdeführerin sind als (mit Ausnahme des geringfügigen Nichteintretens [vgl. E. 1.3.2]) obsiegende Partei keine Verfahrenskosten aufzuerlegen (Art. 63 Abs. 3 VwVG). Der einbezahlte Kostenvorschuss in Höhe von Fr. 2'200.- ist der Beschwerdeführerin zurückzuerstatten.</w:t>
      </w:r>
    </w:p>
    <w:p>
      <w:r>
        <w:rPr>
          <w:b/>
        </w:rPr>
        <w:t>E. 4.2</w:t>
      </w:r>
    </w:p>
    <w:p>
      <w:r>
        <w:t>Der Vorinstanz können keine Verfahrenskosten auferlegt werden (Art. 63 Abs. 2 VwVG).</w:t>
      </w:r>
    </w:p>
    <w:p>
      <w:r>
        <w:rPr>
          <w:b/>
        </w:rPr>
        <w:t>E. 4.3.1</w:t>
      </w:r>
    </w:p>
    <w:p>
      <w:r>
        <w:t>Die Vorinstanz hat der obsiegenden Beschwerdeführerin eine Parteientschädigung zu entrichten (Art. 64 Abs. 1 VwVG i.V.m. Art. 7 Abs. 1 des Reglements vom 21. Februar 2008 über die Kosten und Entschädigungen vor dem Bundesverwaltungsgericht [VGKE, SR 173.320.2]). Das Anwaltshonorar wird nach dem notwendigen Zeitaufwand bemessen (Art. 10 Abs. 1 VGKE).</w:t>
      </w:r>
    </w:p>
    <w:p>
      <w:r>
        <w:rPr>
          <w:b/>
        </w:rPr>
        <w:t>E. 4.3.2</w:t>
      </w:r>
    </w:p>
    <w:p>
      <w:r>
        <w:t>Vorliegend hat der Rechtsvertreter der Beschwerdeführerin keine Kostennote eingereicht. Die Parteientschädigung lässt sich allerdings zuverlässig schätzen (einfacher Schriftenwechsel, überschaubare Aktenlage, Berücksichtigung des Parallelverfahrens) und wird somit praxisgemäss auf Fr. 3'300.- festgesetzt.</w:t>
      </w:r>
    </w:p>
    <w:p>
      <w:r>
        <w:rPr>
          <w:b/>
        </w:rPr>
        <w:t>E. 5</w:t>
      </w:r>
    </w:p>
    <w:p>
      <w:r>
        <w:t>Das Bundesverwaltungsgericht entscheidet über Tarifstreitigkeiten im Sinne von Art. 83 Bst. l des Bundesgesetzes über das Bundesgericht (BGG; SR 173.110) letztinstanzlich.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