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A-5813/2020 vom 21. Dezember 2021</w:t>
      </w:r>
    </w:p>
    <w:p>
      <w:r>
        <w:t>Bundesverwaltungsgericht, 2021-12-21, DE</w:t>
      </w:r>
    </w:p>
    <w:p>
      <w:r>
        <w:rPr>
          <w:b/>
        </w:rPr>
        <w:t xml:space="preserve">Quelle: </w:t>
      </w:r>
      <w:r>
        <w:t>https://mcp.opencaselaw.ch/entscheid/bvger_A-5813_2020</w:t>
      </w:r>
    </w:p>
    <w:p>
      <w:r>
        <w:t>FR: TAF A-5813/2020 du 21 décembre 2021</w:t>
      </w:r>
    </w:p>
    <w:p>
      <w:r>
        <w:t>IT: TAF A-5813/2020 del 21 dicembre 2021</w:t>
      </w:r>
    </w:p>
    <w:p>
      <w:pPr>
        <w:pStyle w:val="Heading2"/>
      </w:pPr>
      <w:r>
        <w:t>Regeste</w:t>
      </w:r>
    </w:p>
    <w:p>
      <w:r>
        <w:t>Amtshilfe</w:t>
      </w:r>
    </w:p>
    <w:p>
      <w:pPr>
        <w:pStyle w:val="Heading2"/>
      </w:pPr>
      <w:r>
        <w:t>Erwägungen</w:t>
      </w:r>
    </w:p>
    <w:p>
      <w:r>
        <w:rPr>
          <w:b/>
        </w:rPr>
        <w:t>E. 1.1</w:t>
      </w:r>
    </w:p>
    <w:p>
      <w:r>
        <w:t>Dem vorliegenden Verfahren liegt ein Amtshilfeersuchen des NTS zugrunde. Dieses stützt sich auf Art. 25 DBA CH-KR. Das Verfahren richtet sich nach dem Bundesgesetz vom 28. September 2012 über die inter-nationale Amtshilfe in Steuersachen (StAhiG, SR 651.1). Vorbehalten bleiben abweichende Bestimmungen des im vorliegenden Fall anwendbaren DBA CH-KR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sowie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In Zusammenhang mit Art. 25 DBA CH-KR ist sodann Ziff. 2 des zugehörigen Protokolls, welches wie Art. 25 DBA CH-KR per 25. Juli 2012 in Kraft trat (AS 2012 4069) sowie die Verständigungsvereinbarung mit Inkrafttreten am 3. Juli 2012 (AS 2012 4219) zu beachten.</w:t>
      </w:r>
    </w:p>
    <w:p>
      <w:r>
        <w:rPr>
          <w:b/>
        </w:rPr>
        <w:t>E. 2.2.2</w:t>
      </w:r>
    </w:p>
    <w:p>
      <w:r>
        <w:t>Ziff. 2 Bst. b des Protokolls zum DBA CH-KR enthält formelle Anforderungen an ein Amtshilfeersuchen. Bst. a bestimmt, dass ein Ersuchen erst gestellt werden darf, wenn der ersuchende Staat die üblichen innerstaatlichen Mittel zur Informationsbeschaffung ausgeschöpft hat.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(E. 1.1).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 ff.). Insbesondere in Bezug auf Art. 7 Bst. c StAhiG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2.4</w:t>
      </w:r>
    </w:p>
    <w:p>
      <w:r>
        <w:t>Laut Art. 7 Bst. c StAhiG wird auf ein Amtshilfegesuch nicht eingetreten, wenn es den Grundsatz von Treu und Glauben verletzt, insbesondere wenn es auf Informationen beruht, welche nach schweizerischem Recht in strafrechtlich relevanter Art und Weise erlangt worden sind (Urteil des BGer 2C_545/2019 vom 13. Juli 2020 E. 6.3). Gemäss bundesgerichtlicher Rechtsprechung ist jedoch nur dann in jedem Fall von einem treuwidrigen Verhalten auszugehen, wenn ein Staat schweizerische Bankdaten kauft, um sie danach für ein Amtshilfegesuch zu verwenden. Ansonsten ist die Frage, ob ein Staat den Grundsatz von Treu und Glauben bei von Art. 7 Bst. c StAhiG erfassten Konstellationen verletzt hat, nach den Umständen des Einzelfalls zu beurteilen (BGE 143 II 224 E. 6.4). Die blosse Verwendung bzw. Auswertung von Daten illegaler Herkunft stellt für sich allein noch keinen Verstoss gegen Treu und Glauben dar, solange sie der ersuchende Staat nicht gekauft hat, um sie anschliessend für ein Amtshilfegesuch zu nutzen (Urteile des BGer 2C_619/2018 vom 21. Dezember 2018 E. 2.3.5, 2C_819/2017 vom 2. August 2018 E. 4, 2C_648/2017 vom 17. Juli 2018 E. 2.3.3 und 3.3). Für die Treuwidrigkeit bedarf es in solchen Fällen eines zusätzlichen Elements, beispielsweise einer vertraglichen Zusicherung des ersuchenden Staates (Urteil des BGer 2C_545/2019 vom 13. Juli 2020 E. 6.3). Eine solche Zusicherung muss sich auf einen entsprechenden Verweis im bilateralen Abkommen oder in einem Protokoll dazu abstützen lassen. Der ersuchende Staat muss somit diesen Vorbehalt akzeptiert haben oder der Vorbehalt muss sich aus einer sonstigen gegenseitigen Zusicherung ergeben (Urteile des BGer 2C_619/2018 vom 21. Dezember 2018 E. 2.3.2 und 2.3.5, 2C_819/2017 vom 2. August 2018 E. 4, 2C_648/2017 vom 17. Juli 2018 E. 3.3).</w:t>
      </w:r>
    </w:p>
    <w:p>
      <w:r>
        <w:rPr>
          <w:b/>
        </w:rPr>
        <w:t>E. 2.5</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3.1.1</w:t>
      </w:r>
    </w:p>
    <w:p>
      <w:r>
        <w:t>Sofern - wie im vorliegenden Fall - ein Einzelersuchen ohne Namensangabe im Rahmen einer Listenanfrage eingereicht wird (vgl. zu deren Zulässigkeit Art. 25 DBA CH-KR und Ziff. 2 des zugehörigen Protokolls sowie insbesondere die dazugehörige Verständigungsvereinbarung [s. E. 2.2.1] sowie auch BGE 143 II 136 E. 5.3.4), sind nach bundesgerichtlicher Rechtsprechung für die Frage der unzulässigen Beweisausforschung diejenigen Kriterien heranzuziehen, welche das Bundesgericht im Zusammenhang mit Gruppenersuchen entwickelt hat (BGE 143 II 628 E. 5.1). Somit muss der ersuchende Staat eine detaillierte Umschreibung vorlegen und darin müssen die spezifischen Tatsachen und Umstände, welche zu der Anfrage geführt haben, dargestellt sein (Urteil des BGer 2C_695/2017 vom 29. Oktober 2018 E. 5.2). Im Ersuchen müssen auch die anwendbaren steuerrechtlichen Bestimmungen dargelegt sein sowie die Gründe, welche die Annahme rechtfertigen, die steuerpflichtigen Personen seien ihren steuerrechtlichen Verpflichtungen nicht nachgekommen. Schliesslich muss der ersuchende Staat aufzeigen, dass die verlangten Informationen geeignet sind, die Erfüllung dieser Verpflichtungen herbeizuführen (BGE 146 II 150 E. 6.1.3). Der NTS verlangt vorliegend Aufschluss über die Identität einer bestimmten, nach den Bankunterlagen bzw. dem Domizilcode mutmasslich in Südkorea ansässigen und damit auch steuerpflichtigen Person, deren Kundennummer und Domizilcode ihm bereits bekannt sind. Mit dem Amtshilfeersuchen vom 17. Juli 2020 macht der NTS detailliert Ausführungen zu den rechtlichen Grundlagen und zu den Umständen, welche zum Listenersuchen geführt haben. Der NTS möchte mit dem Ersuchen insbesondere die Einhaltung der steuerlichen Meldepflichten untersuchen («Korean residents who have accounts in overseas financial institutions with the balance being KKW 500 million [approximately CHF 400'000] or more at any month end during the year must report to the NTS on their accounts»). Denn der NTS hegt nämlich die Vermutung, dass die betroffene Person persönliches Einkommen nicht versteuert hat («that they failed to report to the NTS the incomes in the accounts and the accompanying interest and dividend incomes»). Im Zusammenhang mit der Vermutung, die betroffene Person habe die steuerlichen Meldepflichten und Einkommen nicht versteuert, nennt der NTS auch die anwendbaren Rechtsgrundlagen («Article 34 of the Adjustment of International Taxes Act of the Republic of Korea», «Under Articles 16-18 of the Income Tax Act», «Article 80 of the Income Tax Act»). Im Weiteren hat der NTS von den insgesamt 202 Konten zumindest einige wenige überprüfen können und der Domizilcode hat sich in der bisherigen Untersuchung offenbar als korrekt erwiesen (vgl. auch Urteil des BGer 2C_653/2018 vom 26. Juli 2019 E. 6.2.6 f. sowie Urteil des BVGer A-1562/2018 vom 3. August 2020 E. 4.2). Daran ändert auch das allgemein gehaltene Schreiben der Bank vom 14. September 2020 nichts, denn in diesem wird nicht angeführt, dass im konkret vorliegenden Fall die Domizilangaben nicht korrekt seien. Ohnehin ist nicht im Rahmen des vorliegenden Amtshilfeverfahrens zu klären, ob nach südkoreanischem Recht ein Steuerwohnsitz in Südkorea besteht oder nicht (vgl. Urteil des BGer 2C_805/2018 vom 23. August 2019 E. 4.5 mit Hinweis auf BGE 145 II 122 E. 2.2.2 und E. 3.2 sowie BGE 142 II 161 E. 2.2.2; Urteil des BVGer A-1562/2018 vom 3. August 2020 E. 4.2). Schliesslich macht der NTS auch Ausführungen zum vorgeworfenen und gesetzwidrigen Verhalten der betroffenen Person. Nach den Ausführungen der NTS im Ersuchen sind die betreffenden Kundennummern nicht in den südkoreanischen Datenbanken geführt («in order to verify whether they fulfilled the obligation, the NTS cross-checked the above CUSTOMER ID NUMBER with reports on overseas financial accounts compiled in its own database for 2011 through 2018», «And it was found out that only two accounts were reported with the rest 200 being unreported»), was einen konkreten Hinweis auf steuerliche Unregelmässigkeiten darstellen könnte. Entgegen den Ausführungen des Beschwerdeführers - es liege eine «fishing expedition» vor - ist eine unzulässige Beweisausforschung damit vorliegend zu verneinen.</w:t>
      </w:r>
    </w:p>
    <w:p>
      <w:r>
        <w:rPr>
          <w:b/>
        </w:rPr>
        <w:t>E. 3.1.2</w:t>
      </w:r>
    </w:p>
    <w:p>
      <w:r>
        <w:t>Die vom NTS im Zusammenhang mit der Besteuerung der betroffenen Person ersuchten Informationen erscheinen als geeignet, ihre Einkommensbesteuerung und damit ihre Steuersituation in der Republik Korea zu beeinflussen. Die ersuchten Informationen sind demnach dazu geeignet, im ausländischen Verfahren gegen die betroffene Person verwendet zu werden («verify the suspected tax avoidance of overseas incomes»). Die Übermittlung der Bankunterlagen und des Namens der betroffenen Person ermöglicht dem NTS, die Ermittlungen weiterzuführen. Dies ist für das Erfordernis der voraussichtlichen Erheblichkeit ausreichend (vgl. Urteil des BGer 2C_695/2017 vom 29. Oktober 2018 E. 5.3.2). Damit ist in casu in Übereinstimmung mit den Erwägungen in der Schlussverfügung der Vorinstanz die voraussichtliche Erheblichkeit von grundsätzlich sämtlichen Informationen gegeben. Entsprechend misslingt es dem Beschwerdeführer aufzuzeigen, dass ein Zusammenhang zwischen den verlangten Informationen und der Untersuchung in der Republik Korea wenig wahrscheinlich erscheint (vgl. BGE 146 II 150 E. 6.1.1 ff., 141 II 436 E. 4.4.3). Damit ist aufgrund des völkerrechtlichen Vertrauensprinzips an der Richtigkeit der Ausführungen und Erklärungen der ersuchenden Behörde nicht zu zweifeln (s. E. 2.5).</w:t>
      </w:r>
    </w:p>
    <w:p>
      <w:r>
        <w:rPr>
          <w:b/>
        </w:rPr>
        <w:t>E. 3.2</w:t>
      </w:r>
    </w:p>
    <w:p>
      <w:r>
        <w:t>Im Ersuchen des NTS steht klar geschrieben, dass die Republik Südkorea die Daten im Rahmen zwischenstaatlicher Zusammenarbeit («intelligence collaboration») erlangt hat und es besteht grundsätzlich wegen dem völkerrechtlichen Vertrauensprinzips gerade kein Anlass (s. E. 2.5), an der Richtigkeit der Ausführungen und Erklärungen der ersuchenden Behörde zu zweifeln. Im vorliegenden Fall ist entgegen den Ausführungen des Beschwerdeführers nicht erstellt, dass die Informationen über das von ihm genannte «Tax Whistleblower Reward Program» erworben wurden. Überdies würde die blosse Verwendung bzw. Auswertung von Daten illegaler Herkunft für sich allein nach konstanter bundesgerichtlicher Rechtsprechung noch keinen Verstoss gegen Treu und Glauben darstellen, solange sie der ersuchende Staat nicht gekauft hat, um sie anschliessend für ein Amtshilfegesuch zu nutzen (Urteile des BGer 2C_619/2018 vom 21. Dezember 2018 E. 2.3.5, 2C_819/2017 vom 2. August 2018 E. 4, 2C_648/2017 vom 17. Juli 2018 E. 2.3.3 und 3.3). Vorliegend würde es daher eines zusätzlichen Elementes - wie einer vertraglichen Zusicherung des ersuchenden Staates - bedürfen (Urteil des BGer 2C_545/2019 vom 13. Juli 2020 E. 6.3). In der ergangenen bundesgerichtlichen Rechtsprechung mit Bezug auf Südkorea wurde jedoch eine solche Zusicherung des südkoreanischen Staates, die eine Verwendung von gestohlenen Daten ausschliessen würde, stets negiert (Urteil des BGer 2C_545/2019 vom 13. Juli 2020 E. 6.3). Im Sinne dieser Ausführungen erweisen sich somit die Behauptungen und die Rügen des Beschwerdeführers, die sich mit einem Verstoss gegen Treu und Glauben beschäftigen, als unbegründet.</w:t>
      </w:r>
    </w:p>
    <w:p>
      <w:r>
        <w:rPr>
          <w:b/>
        </w:rPr>
        <w:t>E. 3.3</w:t>
      </w:r>
    </w:p>
    <w:p>
      <w:r>
        <w:t>Unbestritten ist schliesslich, dass die Bank durch die Vorinstanz korrekt aufgefordert wurde, den Beschwerdeführer zu informieren (vgl. Art. 14 Abs. 3 StAhiG bzw. Art. 14a Abs. 3 StAhiG). Diese antwortete mit Schreiben vom 14. September 2020, dass eine Information im vorliegenden Fall nicht möglich sei (Sachverhalt Bst. C). Wie der Beschwerdeführer richtigerweise anerkennt, muss die Vorinstanz lediglich versuchen, die Bank als Inhaber der Informationen dazu zu bewegen, mit der betroffenen Person Kontakt aufzunehmen, um einen zur Entgegennahme der Mitteilungen befugten Vertreter zu benennen. Die Vorinstanz kann jedoch die Bank nicht dazu zwingen, dies zu tun (s. BGE 145 II 119 E. 6.2, mit Hinweisen). Art. 14 Abs. 4 und 5 StAhiG bzw. Art. 14a Abs. 3bis und 4 StAhiG sieht sodann zur Gewährung des rechtlichen Gehörs von Personen, die von einem Amtshilfeersuchen betroffen oder beschwerdeberechtigt sind und ihren Wohnsitz im Ausland haben, verschiedene Arten der Information vor (BGE 145 II 119 E. 7.2). Einerseits ist eine direkte Information durch die ESTV unter bestimmten Voraussetzungen möglich (vgl. Art. 14 Abs. 4 StAhiG bzw. Art. 14a Abs. 3bis StAhiG), anderseits ist die Information durch die ersuchende Behörde oder durch Veröffentlichung im Bundesblatt erlaubt (vgl. Art. 14 Abs. 5 StAhiG bzw. Art. 14a Abs. 4 StAhiG). Ebenfalls unbestritten ist vorliegend, dass die Schweiz und die Republik Korea keinen Staatsvertrag kennen, welcher eine unmittelbare Zustellung nach Art. 14 Abs. 4 Bst. a StAhiG bzw. Art. 14a Abs. 3bis Bst. a StAhiG erlauben würde. Wie der Beschwerdeführer zurecht vorträgt, kann die Vor-instanz im vorliegenden Fall auch nicht den ersuchenden Staat um eine ausdrückliche Zustimmung anfragen (s. Urteil des BGer 2C_54/2014 vom 2. Juni 2014 E. 3.3 sowie Art. 14 Abs. 4 StAhiG Bst. b bzw. Art. 14 Abs. 3bis Bst. b StAhiG). Entgegen den Vorbringen des Beschwerdeführers («Erst wenn sämtliche Möglichkeiten ausgeschöpft seien, sei die Vorinstanz dazu ermächtigt, eine Veröffentlichung im Bundesblatt vorzunehmen») konnte im Sinne der bundesgerichtlichen Rechtsprechung, die Information des Beschwerdeführers im vorliegenden Fall durch die Veröffentlichung im Bundesblatt erfolgen. Denn die Information nach Art. 14 Abs. 5 StAhiG bzw. Art. 14a Abs. 4 StAhiG setzt lediglich voraus, dass die betroffene Person nicht direkt kontaktiert werden kann, da die Meldung nach Art. 14 Abs. 5 StAhiG bzw. Art. 14a Abs. 4 StAhiG nach bundesgerichtlicher Rechtsprechung als subsidiär zu den in Art. 14 Abs. 4 StAhiG bzw. Art. 14a Abs. 3bis StAhiG vorgesehenen Möglichkeiten gilt (s. BGE 145 II 119 E. 7.2). Ohnehin hätte - entgegen den Ausführungen des Beschwerdeführers in der Beschwerde und seiner Stellungnahme - eine nicht korrekte Zustellung nicht einfach schlechthin die Aufhebung der Schlussverfügung zur Folge (s. hierzu Urteil des BVGer A-5579/2020 vom 23. August 2021 E. 3.1 f. und E. 4). Insofern können die Argumente und Vorbringen des Beschwerdeführers - es liege eine Verletzung des rechtlichen Gehörs und eine fehlende Information im Sinne von Art. 14 StAhiG sowie eine unrechtmässige Zustellung der Schlussverfügung im Sinne von Art. 17 Abs. 3 StAhiG vor - nicht überzeugen.</w:t>
      </w:r>
    </w:p>
    <w:p>
      <w:r>
        <w:rPr>
          <w:b/>
        </w:rPr>
        <w:t>E. 3.4</w:t>
      </w:r>
    </w:p>
    <w:p>
      <w:r>
        <w:t>Schliesslich entspricht die Anonymisierung von Urteilen im Bereich der internationalen Amtshilfe in Steuersachen der Praxis des Bundesverwaltungsgerichts (Urteil des BVGer A-4876/2019, A-4877/2019 vom 27. Oktober 2020 E. 2.10 und E. 3.1.3), weshalb das vorliegende Urteil entsprechend in anonymisierter Form aufzulegen und auf der Internetseite des Bundesverwaltungsgerichts zu publizieren sein wird (s. Art. 8 Abs. 1 des Informationsreglements für das Bundesverwaltungsgericht vom 21. Februar 2008 [SR 173.320.4]). Die diesbezüglichen Ausführungen des Beschwerdeführers erweisen sich insoweit als gegenstandslos.</w:t>
      </w:r>
    </w:p>
    <w:p>
      <w:r>
        <w:rPr>
          <w:b/>
        </w:rPr>
        <w:t>E. 3.5</w:t>
      </w:r>
    </w:p>
    <w:p>
      <w:r>
        <w:t>Andere Gründe, die im vorliegenden Fall gegen eine Gewährung von Amtshilfe sprechen würden, sind weder geltend gemacht noch sonst ersichtlich. Die Beschwerde ist dementsprechend abzuweisen.</w:t>
      </w:r>
    </w:p>
    <w:p>
      <w:r>
        <w:rPr>
          <w:b/>
        </w:rPr>
        <w:t>E. 4.1</w:t>
      </w:r>
    </w:p>
    <w:p>
      <w:r>
        <w:t>Ausgangsgemäss hat der unterliegenden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