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A-5797/2015 vom 9. August 2017</w:t>
      </w:r>
    </w:p>
    <w:p>
      <w:r>
        <w:t>Bundesverwaltungsgericht, 2017-08-09, DE</w:t>
      </w:r>
    </w:p>
    <w:p>
      <w:r>
        <w:rPr>
          <w:b/>
        </w:rPr>
        <w:t xml:space="preserve">Quelle: </w:t>
      </w:r>
      <w:r>
        <w:t>https://mcp.opencaselaw.ch/entscheid/bvger_A-5797_2015</w:t>
      </w:r>
    </w:p>
    <w:p>
      <w:r>
        <w:t>FR: TAF A-5797/2015 du 9 août 2017</w:t>
      </w:r>
    </w:p>
    <w:p>
      <w:r>
        <w:t>IT: TAF A-5797/2015 del 9 agosto 2017</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nach Art. 74 Abs. 1 BVG i.V.m. Art. 33 Bst. i VGG jene der Aufsichtsbehörden im Bereich der beruflichen Vorsorge. Eine Ausnahme nach Art. 32 VGG liegt in casu nicht vor. Die Zuständigkeit des Bundesverwaltungsgerichts ist somit gegeben.</w:t>
      </w:r>
    </w:p>
    <w:p>
      <w:r>
        <w:rPr>
          <w:b/>
        </w:rPr>
        <w:t>E. 1.2</w:t>
      </w:r>
    </w:p>
    <w:p>
      <w:r>
        <w:t>Gemäss Art. 48 Abs. 1 VwVG ist zur Beschwerde legitimiert, wer vor der Vorinstanz am Verfahren teilgenommen hat (Bst. a), durch die angefochtene Verfügung besonders berührt ist (Bst. b) und ein schutzwürdiges Interesse an deren Aufhebung oder Änderung hat (Bst. c). Die primären Verfügungsadressaten (vorliegend: Beschwerdeführende 1-24), d.h. die materiellen Adressaten der Verfügung, erfüllen das Erfordernis des "besonders Berührtseins" in der Regel ohne weiteres. Die Eigenschaft als Verfügungsadressat richtet sich dabei grundsätzlich nach dem Inhalt der angefochtenen Verfügung (Urteil des BVGer A-5524/2015 vom 1. September 2016 E. 1.1.2; vgl. Alfred Kölz et al., Verwaltungsverfahren und Verwaltungsrechtspflege des Bundes, 3. Aufl. 2013, Rz. 949, mit weiteren Hinweisen). Die Beschwerdeführerin 25 als übernehmende Vorsorgeeinrichtung ist Adressatin des angefochtenen Entscheids. Gemäss Bundesgericht ist eine übernehmende Vorsorgeeinrichtung legitimiert, eine Verfügung betreffend die Teilliquidation der abgebenden Vorsorgeeinrichtung anzufechten; sie hat ein Interesse daran, die zu überführenden Mittel der übernommenen Versicherten zu kennen, da sie deren Ansprüche zu verwalten und eine ordnungsgemässe Buchführung vorzunehmen hat. Zudem kann die Höhe ihres Aktivvermögens für sie im Hinblick auf ihre Vermögensanlage und die Liquidität von Bedeutung sein (Urteile des BGer 2A.14/2006 vom 4. Mai 2006 E. 2.1, 2A.451/2004 vom 9. Juni 2005 E. 1 und 2A.185/1997 vom 11. Februar 1998 E. 2c, in: Schweizerische Zeitschrift für Sozialversicherung und berufliche Vorsorge [SZS] 2001 S. 374 ff. und Pra 1998 Nr. 70 S. 435; Urteile des BVGer A-5524/2015 vom 1. September 2016 E. 1.1.2 und C-2399/2006 vom 6. Oktober 2009 E. 3.2.2). Die Beschwerdeführerin 25 ist somit auch mit Blick auf ihre Interessen legitimiert.</w:t>
      </w:r>
    </w:p>
    <w:p>
      <w:r>
        <w:rPr>
          <w:b/>
        </w:rPr>
        <w:t>E. 1.3</w:t>
      </w:r>
    </w:p>
    <w:p>
      <w:r>
        <w:t>Die Beschwerdeführenden haben die Beschwerde frist- und formgerecht erhoben (Art. 50 Abs. 1 und Art. 52 Abs. 1 VwVG). Da zudem auch der Kostenvorschuss in der dafür angesetzten Frist geleistet worden ist, ist auf die Beschwerde einzutreten.</w:t>
      </w:r>
    </w:p>
    <w:p>
      <w:r>
        <w:rPr>
          <w:b/>
        </w:rPr>
        <w:t>E. 1.4</w:t>
      </w:r>
    </w:p>
    <w:p>
      <w:r>
        <w:t>Das Bundesverwaltungsgericht prüft gemäss Art. 49 VwVG die Verletzung von Bundesrecht einschliesslich der Überschreitung oder des Missbrauchs des Ermessens (Bst. a), die unrichtige oder unvollständige Feststellung des rechtserheblichen Sachverhalts (Bst. b) und die Unangemessenheit, wenn nicht eine kantonale Behörde als Beschwerdeinstanz verfügt hat (Bst. c). Da sich die Kognition in oberer Instanz nur verengen, nicht aber erweitern kann, gilt es jedoch zu beachten, dass die Aufsichtstätigkeit im Bereich der beruflichen Vorsorge als Rechtskontrolle ausgestaltet ist (vgl. Isabelle Vetter-Schreiber, Kommentar zur beruflichen Vorsorge, 3. Aufl. 2013, Art. 62 Rz. 1), weshalb sich auch das angerufene Gericht - in Abweichung von Art. 49 Bst. c VwVG - auf eine Rechtskontrolle zu beschränken hat, soweit Entscheide eines Stiftungsrates zu überprüfen sind (zum Ganzen: BGE 139 V 407 E. 4.1.2, BGE 138 V 346 E. 5.5.2 und BGE 135 V 382 E. 4.2; Urteile des BVGer A-494/2013 vom 10. November 2016 E. 3.2 und A-5524/2015 vom 1. September 2016 E. 2, mit weiteren Hinweisen).</w:t>
      </w:r>
    </w:p>
    <w:p>
      <w:r>
        <w:rPr>
          <w:b/>
        </w:rPr>
        <w:t>E. 1.5</w:t>
      </w:r>
    </w:p>
    <w:p>
      <w:r>
        <w:t>Nach den allgemeinen intertemporalrechtlichen Regeln sind in verfahrensrechtlicher Hinsicht in der Regel diejenigen Rechtssätze massgebend, welche im Zeitpunkt der Beschwerdebeurteilung Geltung haben (vgl. BGE 130 V 1 E. 3.2), dies unter Vorbehalt spezialgesetzlicher Übergangsbestimmungen. In materiell-rechtlicher Hinsicht sind demgegenüber grundsätzlich diejenigen Rechtssätze massgebend, die bei der Erfüllung des zu Rechtsfolgen führenden Sachverhalts Geltung haben (BGE 132 V 215 E. 3.1.1, BGE 130 V 329 E. 2.3).</w:t>
      </w:r>
    </w:p>
    <w:p>
      <w:r>
        <w:rPr>
          <w:b/>
        </w:rPr>
        <w:t>E. 2.1.1</w:t>
      </w:r>
    </w:p>
    <w:p>
      <w:r>
        <w:t>Gemäss dem Art. 53d Abs. 1 BVG konkretisierenden Art. 27g Abs. 1 der Verordnung vom 18. April 1984 über die berufliche Alters-, Hinterlassenen- und Invalidenvorsorge (BVV 2, SR 831.441.1) besteht bei einer Teil- oder Gesamtliquidation der Vorsorgeeinrichtung neben dem Anspruch auf die Austrittsleistung ein individueller oder kollektiver Anspruch auf freie Mittel. Die Vorsorgeeinrichtungen regeln in ihren Reglementen die Voraussetzungen und das Verfahren zur Teilliquidation (Art. 53b Abs. 1 BVG), wobei die reglementarischen Vorschriften über die Voraussetzungen und das Verfahren zur Teilliquidation von der Aufsichtsbehörde genehmigt werden müssen (Art. 53b Abs. 2 BVG). Hierbei kommt der aufsichtsrechtlichen Genehmigung des Teilliquidationsreglements konstitutive Wirkung zu, so dass dieses grundsätzlich erst mit der Genehmigungsverfügung gültig wird (BGE 140 V 22 E. 5.2 und BGE 139 V 72 E. 2.1). Gemäss Art. 53d Abs. 4 BVG legt in der Folge das paritätisch besetzte Organ oder das zuständige Organ im Rahmen der gesetzlichen Bestimmungen und des Reglements den genauen Zeitpunkt, die freien Mittel und den zu verteilenden Anteil, den Fehlbetrag und dessen Zuweisung sowie den Verteilungsplan fest. Entgegen der früheren Regelung muss der Verteilungsplan nicht mehr zwingend von der Aufsichtsbehörde genehmigt werden. Vielmehr muss die Vorsorgeeinrichtung die Versicherten und die Rentnerinnen und Rentner über die Teilliquidation rechtzeitig und vollständig informieren und ihnen namentlich Einsicht in die Verteilungspläne gewähren (Art. 53d Abs. 5 BVG). Die Vorsorgeeinrichtung beschliesst und vollzieht die Teilliquidation (neu) autonom, ohne Mitwirkung der Aufsichtsbehörde. Diese wird nur dann eingeschaltet, wenn die Destinatäre an sie gelangen und eine Überprüfung der Voraussetzungen, des Verfahrens oder des Verteilungsplans verlangen (Art. 53d Abs. 6 BVG; BGE 138 V 346 E. 6.3.3; Urteil des BVGer A-565/2013 vom 8. November 2016 E. 3.2; vgl. auch E. 2.6).</w:t>
      </w:r>
    </w:p>
    <w:p>
      <w:r>
        <w:rPr>
          <w:b/>
        </w:rPr>
        <w:t>E. 2.1.2</w:t>
      </w:r>
    </w:p>
    <w:p>
      <w:r>
        <w:t>Die Voraussetzungen für eine Teilliquidation sind nach Art. 53b Abs. 1 BVG vermutungsweise erfüllt, wenn eine erhebliche Verminderung der Belegschaft erfolgt (Bst. a), ein Unternehmen restrukturiert wird (Bst. b) oder der Anschlussvertrag aufgelöst wird (Bst. c). Hierbei ist der Wortlaut von Art. 53b Abs. 1 BVG klar: Die Vorsorgeeinrichtungen regeln in ihren Reglementen die Voraussetzungen und das Verfahren der Teilliquidation. Die Bestimmung belässt (grundsätzlich) keinen Raum für einen Entscheid im konkreten Einzelfall, sondern verlangt, die einzelnen Voraussetzungen und das Verfahren "präventiv (zu) spezifizieren" ("reglementarisches Konkretisierungsgebot hinsichtlich der einzelnen Tatbestandsvoraussetzungen"; zum Ganzen: BGE 141 V 589 E. 4.2.2, BGE 140 V 22 E. 5.3 und BGE 138 V 346 E. 6.3; Urteil des BVGer A-5524/2015 vom 1. September 2016 E. 3.2; Ueli Kieser, in: Schneider/Geiser/Gächter [Hrsg.], Handkommentar zum BVG und FZG, 2010 [nachfolgend: Handkommentar BVG], Art. 53b Rz. 26).</w:t>
      </w:r>
    </w:p>
    <w:p>
      <w:r>
        <w:rPr>
          <w:b/>
        </w:rPr>
        <w:t>E. 2.2</w:t>
      </w:r>
    </w:p>
    <w:p>
      <w:r>
        <w:t>Die Höhe der freien Mittel wird grundsätzlich wie folgt bestimmt: Zunächst ist die Vermögenssituation der Vorsorgeeinrichtung am Stichtag - welcher sich nach dem die Teilliquidation auslösenden Ereignis bestimmt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Veräusserungswerten einzusetzen (Art. 53d Abs. 2 BVG). Nach Abzug der Passiven sind dem Nettovermögen der Vorsorgeeinrichtung die reglementarisch gebundenen Mittel gegenüber zu stellen. Aus der Differenz zwischen diesen beiden Grössen sind die (zulässigen) Reserven zu äufnen und allenfalls erforderliche Rückstellungen zu bilden. Dabei wird für die Höhe der Wertschwankungsreserven eine Bandbreite von zehn bis zwanzig Prozent als angemessen erachtet. Was danach an Vermögen verbleibt, stellt freies Vermögen der Vorsorgeeinrichtung dar (BGE 131 II 514 E. 2.2; Urteile des BVGer A-565/2013 vom 8. November 2016 E. 3.1.2 und C-2370/2006 vom 10. September 2007 E. 4.6.3).</w:t>
      </w:r>
    </w:p>
    <w:p>
      <w:r>
        <w:rPr>
          <w:b/>
        </w:rPr>
        <w:t>E. 2.3</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(BGE 140 V 121 E. 4.3, BGE 131 II 514 E. 5.1, mit Hinweisen; Urteile des BVGer A-565/2013 vom 8. November 2016 E. 3.1.4 und C-3181/2011 vom 2. Mai 2013 E. 5.3.1; Sabina Wilson, Die Erstellung des Teilliquidationsreglements einer Vorsorgeeinrichtung und weitere Einzelfragen zur Durchführung einer Teilliquidation, 2016, S. 142 f. Rz. 451).</w:t>
      </w:r>
    </w:p>
    <w:p>
      <w:r>
        <w:rPr>
          <w:b/>
        </w:rPr>
        <w:t>E. 2.4</w:t>
      </w:r>
    </w:p>
    <w:p>
      <w:r>
        <w:t>Zusätzlich zum Fortbestandsinteresse ist das Gleichbehandlungsgebot zu beachten, wonach das Personalvorsorgevermögen den bisherigen Destinatären zu folgen hat, damit nicht wegen einer Personalfluktuation einzelne Gruppen von Versicherten zulasten anderer profitieren (Urteil des BGer 9C_684/2016 vom 29. Mai 2017 E. 4.2.3; BGE 140 V 121 E. 4.3, BGE 131 II 525 E. 4.2, mit Hinweisen). Das Gleichbehandlungsgebot schliesst aus, dass die Vorsorgeeinrichtung zugunsten des Fortbestandes alle erdenklichen Reserven und Rückstellungen bildet, während sie dem Abgangsbestand neben der gesetzlichen oder reglementarischen Freizügigkeitsleistung bloss noch einen Teil des (gegebenenfalls verbleibenden) freien Stiftungsvermögens mitgibt. Allerdings gewährt das Gleichbehandlungsgebot dem Abgangsbestand Anspruch auf Beteiligung an Reserven und Rückstellungen der bisherigen Vorsorgeeinrichtung nur insoweit, als entsprechende anlage- und versicherungstechnische Risiken auf die neue Vorsorgeeinrichtung übertragen werden (vgl. BGE 131 II 514 E. 6, mit Hinweisen, BGE 131 II 525 E. 6.2; Urteile des BVGer A-565/2013 vom 8. November 2016 E. 3.1.5 und C-3181/2011 vom 2. Mai 2013 E. 5.3.2). Für die Beurteilung, ob ein versicherungstechnisches Risiko übertragen wird, ist einzig die Situation in der abgebenden Vorsorgeeinrichtung relevant (BGE 140 V 121 E. 4.4, mit weiteren Hinweisen). Insgesamt ist von einer Gleichwertigkeit dieser beiden Prinzipien auszugehen und eine Gewichtung im Einzelfall vorzunehmen (BGE 140 V 121 E. 4.2 f., BGE 131 II 514 E. 5.4; Schlumpf/Trüssel, Interessen ausgleichen und Deckungsgrad konstant halten, Schweizer Personalvorsoge [SPV] 12/2015 S. 59; Ambrosini/Trüssel, Handlungsbedarf im Teilliquidationsverfahren, SPV 8/2014 S. 49).</w:t>
      </w:r>
    </w:p>
    <w:p>
      <w:r>
        <w:rPr>
          <w:b/>
        </w:rPr>
        <w:t>E. 2.5.1</w:t>
      </w:r>
    </w:p>
    <w:p>
      <w:r>
        <w:t>Gemäss Art. 27h Abs. 1 BVV 2 besteht bei einem gemeinsamen Übertritt von mehreren Versicherten als Gruppe (kollektiver Austritt) in eine andere Vorsorgeeinrichtung zusätzlich zum Anspruch auf die freien Mittel ein kollektiver anteilsmässiger Anspruch auf die Rückstellungen und Schwankungsreserven nach den in Art. 48e BVV 2 in einem Reglement festgelegten Regeln (E. 2.5.2), soweit auch versicherungs- und anlagetechnische Risiken auf die neue Vorsorgeeinrichtung übertragen werden. Dabei ist insbesondere auch der Form der zu übertragenden Vermögenswerte Rechnung zu tragen. Bei der Bemessung des Anspruchs ist dem Beitrag angemessen Rechnung zu tragen, den das austretende Kollektiv zur Bildung der Rückstellungen und Schwankungsreserven geleistet hat (vgl. Urteil des BVGer C-3181/2011 vom 2. Mai 2013 E. 5.3.3; siehe auch: Schlumpf/Trüssel, a.a.O., S. 57).</w:t>
      </w:r>
    </w:p>
    <w:p>
      <w:r>
        <w:rPr>
          <w:b/>
        </w:rPr>
        <w:t>E. 2.5.2</w:t>
      </w:r>
    </w:p>
    <w:p>
      <w:r>
        <w:t>Laut Art. 65b Bst. a BVG erlässt der Bundesrat Mindestvorschriften über die Errichtung der Rückstellungen für die versicherungstechnischen Risiken. Art. 48e BVV 2 verlangt, dass die Vorsorgeeinrichtung die Bestimmungen über die Bildung von Rückstellungen und Schwankungsreserven in einem Reglement festlegen. In der Praxis werden die Bestimmungen über die versicherungstechnischen Rückstellungen in einem besonderen Rückstellungsreglement geregelt (Jürg Brechbühl, Handkommentar BVG, a.a.O., Art. 65b Rz. 9). Diese haben den Grundsatz der Stetigkeit zu beachten, was bedeutet, dass die Grundsätze für die Bewertung der Bilanzposten (d.h. auch Rückstellungen und Schwankungsreserven) offengelegt werden, eine bestehende Bilanzierungspraxis konstant weitergeführt wird und die Änderungen der Bewertungen transparent gemacht und begründet werden (vgl. zum Ganzen: BGE 131 II 525 E. 5.2; Vorschriften der Fachempfehlung zur Rechnungslegung von Personalvorsorgeeinrichtungen Swiss GAAP FER 26; Fachrichtlinie der Schweizerischen Kammer der Pensionskassen-Experten (KPE) zu den Vorsorgekapitalien und technischen Rückstellungen FRP 2 vom 29. November 2011, Ziff. 5; Brechbühl, Handkommentar BVG, a.a.O., Art. 65b Rz. 10).</w:t>
      </w:r>
    </w:p>
    <w:p>
      <w:r>
        <w:rPr>
          <w:b/>
        </w:rPr>
        <w:t>E. 2.5.3</w:t>
      </w:r>
    </w:p>
    <w:p>
      <w:r>
        <w:t>Unter den technischen Rückstellungen sind in einem weiteren Sinn die Beträge zu verstehen, die neben den fest zu erwartenden Einnahmen aus Beiträgen und Zinsen notwendig sind, um die am Bilanzstichtag vorhandenen Verpflichtungen zu decken. Dazu gehören die Vorsorgekapitalien der aktiven Versicherten, die Deckungskapitalien der Rentner sowie die versicherungstechnischen Rückstellungen in einem engeren Sinn. Zu Letzteren gehören Rückstellungen, die für die klassischen versicherungstechnischen Risiken gebildet werden, wobei diese nach allgemein anerkannten Grundsätzen und zugänglichen technischen Grundlagen betreffend Tod und Invalidität durch einen anerkannten Experten für berufliche Vorsorge berechnet und jährlich bewertet werden (Brechbühl, Handkommentar BVG, a.a.O., Art. 65b Rz. 11).</w:t>
      </w:r>
    </w:p>
    <w:p>
      <w:r>
        <w:rPr>
          <w:b/>
        </w:rPr>
        <w:t>E. 2.6</w:t>
      </w:r>
    </w:p>
    <w:p>
      <w:r>
        <w:t>Gemäss Art. 62 Abs. 1 BVG wacht die Aufsichtsbehörde darüber, dass die Vorsorgeeinrichtungen, die Revisionsstellen für berufliche Vorsorge, die Experten für berufliche Vorsorge sowie die Einrichtungen, die nach ihrem Zweck der beruflichen Vorsorge dienen, die gesetzlichen Vorschriften einhalten und dass das Vorsorgevermögen zweckmässig verwendet wird, indem sie insbesondere die Übereinstimmung der statutarischen und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3</w:t>
      </w:r>
    </w:p>
    <w:p>
      <w:r>
        <w:t>Unbestritten ist vorliegend, dass bei der Beschwerdegegnerin infolge einer erheblichen Verminderung der Belegschaft und einer Restrukturierung der Tatbestand der Teilliquidation erfüllt ist (vgl. E. 2.1.2; so auch: Art. 2 Abs. 1 Bst. a und b des Reglements Teilliquidation Pensionskasse Z._______ vom 1. Juni 2009, Beilage 2 zur Beschwerdeantwort); der Antrag auf Gesamtliquidation wurde zwischenzeitlich fallen gelassen. Nicht im Streit liegen ebenso der Stichtag der Teilliquidation, der 31. Dezember 2012, sowie der Destinatärkreis, der als kollektiver Bestand austritt. Bestritten und nachfolgend zu prüfen ist demgegenüber die konkrete Berechnung der Mittel, die mit den Ausgetretenen kollektiv auf die neue Vorsorgeeinrichtung übertragen worden sind. Zu prüfen ist die Umstellung der technischen Grundlagen, die Bildung der Rückstellung Rentnerdeckungskapital und die Weiterführung der ursprünglichen Rückstellung Rentnerdeckungskapital als Rückstellung Rentnerkasse über den 31. Dezember 2014 hinaus.</w:t>
      </w:r>
    </w:p>
    <w:p>
      <w:r>
        <w:rPr>
          <w:b/>
        </w:rPr>
        <w:t>E. 3.1.1</w:t>
      </w:r>
    </w:p>
    <w:p>
      <w:r>
        <w:t>Vorliegend kann dem versicherungstechnischen Gutachten des Experten für berufliche Vorsorge (nachfolgend: Experten) per 31. Dezember 2011 entnommen werden, die demographische Struktur des Versichertenbestandes zeige, dass sich die strukturelle Risikofähigkeit in den folgenden Jahren weiter verschlechtern werde, als viele Aktive über 55 Jahre alt seien und sich in der nahen Zukunft pensionieren lassen würden, sowie die Mehrheit der Rentner voraussichtlich noch lange im Bestand bleiben werde, da [zum fraglichen Zeitpunkt] fast alle noch unter 70 Jahre alt seien. Die erforderliche Mindestrendite bei einer Verzinsung der Altersguthaben von 1.0 % in Bezug auf das verfügbare Vermögen betrage kurzfristig 1.76 %. Die erwartete gewichtete Rendite der aktuellen Anlagestrategie liege gemäss der Erwartungen der Kasse bei 2.28 %. Die Renditeerwartung decke damit kurzfristig statisch betrachtet die erforderliche Mindestrendite, könne aber bei der aktuellen Beitragsstrategie ohne Zusatzbeiträge die Leistungsstrategie bei einer Verzinsung der Altersguthaben schon bei 2 % erwartungsgemäss nicht mehr finanzieren. Der Experte empfiehlt dem Stiftungsrat, die Entwicklung der finanziellen Situation weiterhin aufmerksam zu verfolgen und den technischen Zinssatz allenfalls noch weiter zu senken (Beschwerdebeilage 17, versicherungstechnisches Gutachten per 31. Dezember 2011, S. II). Basierend auf den Eigenschaften der Anlagestrategie der Beschwerdegegnerin liege die Wahrscheinlichkeit trotzdem bei rund 40 %, dass diese in den folgenden Jahren in eine Unterdeckung falle. Mit steigendem Anteil des Vorsorgekapitals Rentenbezüger am gesamten Vorsorgekapital steige die notwendige Rendite, da das Vorsorgekapital der Rentenbezüger zum technischen Zinssatz verzinst werden müsse. Dieser liege aktuell bei 3 %, zusammen mit der Erhöhung der Rückstellung für die Zunahme der Lebenserwartung ab 2015 von 0.5 % ergebe sich eine Zinsbelastung bei den Rentnern von 3.5 %. Dieser Satz liege wesentlich höher, als die erwartete Rendite gemäss Anlagestrategie von 2.28 %. Beim aktuellen technischen Zinssatz von 3 % würde sich somit weiterhin eine Quersubventionierung zwischen den aktiven Versicherten und den Rentenbezügern ergeben (Beschwerdebeilage 17, versicherungstechnisches Gutachten per 31. Dezember 2011, S. 28).</w:t>
      </w:r>
    </w:p>
    <w:p>
      <w:r>
        <w:rPr>
          <w:b/>
        </w:rPr>
        <w:t>E. 3.1.2</w:t>
      </w:r>
    </w:p>
    <w:p>
      <w:r>
        <w:t>Dem versicherungstechnischen Gutachten des Experten per 31. Dezember 2012 kann sodann entnommen werden, dass die Umstellung der technischen Parameter per 20. Juni 2012 vom Stiftungsrat beschlossen worden ist (Beschwerdebeilage 18, versicherungstechnisches Gutachten per 31. Dezember 2012, S. v und S. 11; vgl. auch nachgereichtes Protokoll der a.o. Stiftungsratssitzung vom 20. Juni 2012, S. 3). Hierbei wurde von den Grundlagen BVG 2010 (Periodentafel 2015), 3.0 % auf die Grundlagen BVG 2010 (Generationentafeln), 2.0 % gewechselt, was die Vorsorgekapitalien der Rentnerbezüger von Fr. 163.58 Mio. (per 31. Dezember 2011) auf Fr. 203.14 Mio. (per 31. Dezember 2012) erhöht hat (Beschwerdebeilage 18, versicherungstechnisches Gutachten per 31. Dezember 2012, S. v, S. 9, 11, 14 und S. 35). Die mit dieser Umstellung verbundenen Kosten von rund Fr. 26.6 Mio. gingen voll zu Lasten des operativen Ergebnisses (Beschwerdebeilage 18, versicherungstechnisches Gutachten per 31. Dezember 2012, S. 9 und S. 21). Der von der Beschwerdegegnerin angewandte technische Zinssatz von 2.0 % entspricht der Empfehlung des Experten für berufliche Vorsorge, den technischen Zinssatz im Vergleich zum Vorjahreswert auf höchstens 2.0 % zu senken. Zudem liegt er - so der Experte - unter dem Höchstwert gemäss Fachrichtlinie der Schweizerischen Kammer der Pensionskassen-Experten (KPE) zum technischen Zinssatz FRP 4 vom 27. Oktober 2010 (nachfolgend: FRP 4) und über der Rendite von 10-jährigen Bundesanleihen, welche die untere Grenze darstellt und per 31. Dezember 2012 bei 0.557 % lag. Die FRP 4 würde somit einen noch tieferen technischen Zinssatz erlauben (Beschwerdebeilage 18, versicherungstechnisches Gutachten per 31. Dezember 2012, S. 12). Die erwartete Rendite der Anlagestrategie betrug gemäss den von der Beschwerdegegnerin erhaltenen Informationen 2.15 % (Beschwerdebeilage 18, versicherungstechnisches Gutachten per 31. Dezember 2012, S. 16).</w:t>
      </w:r>
    </w:p>
    <w:p>
      <w:r>
        <w:rPr>
          <w:b/>
        </w:rPr>
        <w:t>E. 3.1.3</w:t>
      </w:r>
    </w:p>
    <w:p>
      <w:r>
        <w:t>Die Beschwerdeführenden monieren, dass sich durch den Wechsel der technischen Grundlagen das Vorsorgekapital der Rentenbezüger von Fr. 147.97 Mio. auf Fr. 163.58 Mio. (per 31. Dezember 2011) und schliesslich auf Fr. 203.14 Mio. (per 31. Dezember 2012) erhöht habe. Die FRP 4 habe in den Jahren 2011 und 2012 einen Referenzzinssatz von 3.5 % berechnet, wohingegen die Beschwerdegegnerin per 31. Dezember 2012 einen solchen von bloss 2 % angeordnet habe. Mit der Reduktion der versicherungstechnischen Grundlagen sei eine allzu starke Gewichtung des Fortbestandsinteresses der Beschwerdegegnerin erfolgt. Die Entwicklung zu einer Rentenkasse sei vorweggenommen worden, obwohl sich diese nicht abgezeichnet habe; das Verhältnis des Vorsorgekapitals der Aktivversicherten zu demjenigen der Rentner rechtfertige dies jedenfalls nicht. Letztlich hätten sich die Austrittsleistungen der Aktivversicherten durch die Änderung der technischen Grundlagen nicht verändert, da die Beschwerdegegnerin eine Beitragsprimatkasse sei; das benötigte Deckungskapital habe sich nur für die Rentner erhöht, den Aktivversicherten könne somit nichts mitgegeben werden (vgl. Sachverhalt Bst. D). Ob der Stiftungsrat am 20. Juni 2012 tatsächlich beschlossen habe, die versicherungstechnischen Parameter umzustellen und Rückstellung Rentnerdeckungskapital zu bilden, werde mit Nichtwissen bestritten, da das entsprechende Beschlussprotokoll bisher nicht eingereicht worden sei (vgl. Sachverhalt Bst. J). Laut Beschwerdegegnerin liege keine Ungleichbehandlung vor. Aufgrund des wirtschaftlichen Umfelds (tiefes Zinsniveau) und aufgrund der Ausschreibung des später dann verloren gegangenen Auftrags (vgl. Sachverhalt Bst. B) habe sich der Stiftungsrat am 20. Juni 2012 veranlasst gesehen, für zwei Szenarien (Verlust des Auftrags oder Verbleib des Auftrags) Beschlüsse zu fällen. Ob dieser Auftrag tatsächlich verloren gehen würde, sei an besagter Sitzung nicht bekannt gewesen bzw. erst am 22./23. Juli 2012 bekannt geworden. Fest stand jedoch, dass sich eine substantielle Reduktion des Versichertenbestandes auf die Sanierungsfähigkeit auswirken würde. Der Fortbestand habe sich dann in Unterdeckung befunden, wobei die austretenden Versicherten 100 % der Freizügigkeitsleistungen erhalten und ihre Sparguthaben verzinst worden seien. Die verbliebenen Versicherten hingegen hätten mit einem Deckungsgrad von weniger als 100 % eine Nullverzinsung sowie einen reduzierten Umwandlungssatz hinnehmen müssen (vgl. Sachverhalt Bst. I). Die Arbeitgeberfirmen der Parteien seien im Konkurrenzkampf; nur deshalb wollen die Beschwerdeführenden möglichst viel über die Beschwerdegegnerin erfahren. Überdies sei ein Stiftungsratsprotokoll ein interner Beleg und es bestehe keine Rechtsgrundlage, auf die sich eine Herausgabe rechtfertigen würde (vgl. Sachverhalt Bst. L).</w:t>
      </w:r>
    </w:p>
    <w:p>
      <w:r>
        <w:rPr>
          <w:b/>
        </w:rPr>
        <w:t>E. 3.1.4.1</w:t>
      </w:r>
    </w:p>
    <w:p>
      <w:r>
        <w:t>Das oberste Organ der Vorsorgeeinrichtung legt die Höhe des technischen Zinssatzes und der übrigen technischen Grundlagen fest (Art. 51a Abs. 2 Bst. e BVG). Gemäss Art. 52e Abs. 2 Bst. a BVG unterbreitet der Experte für berufliche Vorsorge dem obersten Organ der Vorsorgeeinrichtung insbesondere Empfehlungen über den technischen Zinssatz und die übrigen technischen Grundlagen. Der technische Zinssatz ergibt sich aus den Renditeerwartungen auf dem angesparten Kapital (Thomas Flückiger, Handkommentar BVG, a.a.O., Art. 14 Rz. 8). Die vorliegend anwendbare FRP 4 legt in Ziff. 2 fest, dass der Experte für berufliche Vorsorge bei seiner Empfehlung u.a. sicherstellen muss, dass der technische Zinssatz mit einer angemessenen Marge unterhalb der Rendite liegt, die aufgrund der Anlagestrategie zu erwarten ist. Der Experte hat sich bei der Abgabe seiner Empfehlung auf den technischen Referenzzinssatz, den die KPE alljährlich bekannt gibt, zu stützen. Laut Ziff. 3 kann der tatsächlich gewählte technische Zinssatz unter dem technischen Referenzzinssatz liegen. Liegt dieser um mehr als 0.25 % über dem technischen Referenzzinssatz und gibt es hierfür keine Rechtfertigung, muss der Experte Senkungsmassnahmen vorschlagen (vgl. auch Beschwerdebeilage 18, versicherungstechnisches Gutachten per 31. Dezember 2012, S. 12). Per 31. Dezember 2012 lag der technische Referenzzinssatz bei 3.5 % (Erläuterungen zu Ziff. 3, Bst. a der FRP 4 in der Fassung 2015, S. 3). Der technische Referenzzinssatz gibt die maximale Höhe für den technischen Zinssatz vor, wobei dieser selbstverständlich unter dem technischen Referenzzinssatz liegen kann. Ursprüngliches Ziel der FRP 4 war es, zu hohe technische Zinssätze zu vermeiden. Die Unterschreitung darf nun aber nicht als Grund verstanden werden, um den technischen Zinssatz einer Vorsorgeeinrichtung nicht zu überprüfen: die Vorsorgeeinrichtungen müssen diesen aufgrund der aktuellen Gegebenheiten hinterfragen und bei Bedarf reduzieren (Walter/Ambrosini, Technischer Zinssatz und Fachrichtlinie FRP 4 - Bedeutung des neuen Referenzzinssatzes für Vorsorgeeinrichtungen, Der Schweizer Treuhänder [ST] 5/2011 S. 348 f.).</w:t>
      </w:r>
    </w:p>
    <w:p>
      <w:r>
        <w:rPr>
          <w:b/>
        </w:rPr>
        <w:t>E. 3.1.4.2</w:t>
      </w:r>
    </w:p>
    <w:p>
      <w:r>
        <w:t>Für die Prognose der Lebenserwartung ist die Unterscheidung zwischen Perioden- und Generationentafeln relevant. Sie enthalten beide Angaben zu den Sterbewahrscheinlichkeiten in einem bestimmten Alter, wobei die Periodentafeln die Sterbewahrscheinlichkeit ausweisen, die während einer bestimmten Periode effektiv beobachtet wurde. Generationentafeln dagegen zeigen die Sterbewahrscheinlichkeit für Jahrgänge, benötigen hierfür "Längsschnittanalysen" und enthalten somit zwingend Annahmen zur künftigen Entwicklung von Sterbewahrscheinlichkeiten. Periodentafeln berücksichtigen den in den Generationentafeln vermuteten Rückgang der Sterblichkeit nicht, weshalb sich die Methode durchgesetzt hat, bei Verwendung ersterer die Vorsorgekapitalien der Rentenbezüger mit 0.5 % pro Jahr zu erhöhen, um der steigenden Lebenserwartung Rechnung zu tragen (Wyss/Flückiger, Umstellung auf die technischen Grundlagen BVG 2015, Expert Focus [EF] 12/2016 S. 942). Je tiefer der technische Zinssatz, umso wichtiger wird die Bedeutung des Anstiegs der Lebenserwartung für die Festlegung des Umwandlungssatzes. Die Entwicklung der Lebenserwartung übertrifft quasi den Zinseszinseffekt. Es ist davon auszugehen, dass die Verwendung von Generationentafeln - gerade auch aufgrund des Tiefstzinsumfelds - zunehmen wird (Wyss/Flückiger, a.a.O., S. 943 f.).</w:t>
      </w:r>
    </w:p>
    <w:p>
      <w:r>
        <w:rPr>
          <w:b/>
        </w:rPr>
        <w:t>E. 3.1.5.1</w:t>
      </w:r>
    </w:p>
    <w:p>
      <w:r>
        <w:t>Der Stiftungsrat als oberstes Organ der Stiftung und damit oberstes Organ der Vorsorgeeinrichtung hat zu entscheiden, welche technischen Grundlagen er verwenden möchte; dies gestützt auf die vorher einzuholende Empfehlung des Experten für die berufliche Vorsorge (E. 3.1.4.1). Vorliegend äussert sich der Experte zu der Umstellung von den Periodentafeln auf die Generationentafeln dahingehend, als dass diese für die Beschwerdegegnerin angemessen seien und der weiter fortschreitenden Zunahme der Lebenserwartung durch die Anwendung von Generationentafeln Rechnung getragen werde. Die Beschwerdegegnerin trage der innert Jahresfrist erfolgten, deutlichen Verschlechterung der strukturellen Risikofähigkeit durch den Austritt von 452 aktiven Versicherten u.a. durch die Umstellung auf Generationentafeln angemessen Rechnung (Beschwerdebeilage 18, versicherungstechnisches Gutachten per 31. Dezember 2012, S. i und S. iii, S. 24). Seines Erachtens habe der Stiftungsrat die nötigen Schritte zur Stabilisierung der Beschwerdegegnerin ergriffen (Beschwerdebeilage 18, versicherungstechnisches Gutachten per 31. Dezember 2012, S. iii). Insgesamt erscheint die Umstellung zu dieser technischen Grundlage - gerade auch mit Blick auf einen allfälligen "Trend" zu den Generationentafeln - in der Tat nicht als unhaltbar oder sachfremd und ist nicht zu beanstanden (E. 1.4).</w:t>
      </w:r>
    </w:p>
    <w:p>
      <w:r>
        <w:rPr>
          <w:b/>
        </w:rPr>
        <w:t>E. 3.1.5.2</w:t>
      </w:r>
    </w:p>
    <w:p>
      <w:r>
        <w:t>Auch über die Senkung des technischen Zinssatzes hat der Stiftungsrat als oberstes Organ der Stiftung - gestützt auf die vorher einzuholende Empfehlung des Experten für die berufliche Vorsorge - zu entscheiden (E. 3.1.4.1). Laut Experte sei durch die Senkung des technischen Zinssatzes der deutlichen Verschlechterung der strukturellen Risikofähigkeit angemessen Rechnung getragen worden (Beschwerdebeilage 18, versicherungstechnisches Gutachten per 31. Dezember 2012, S. i, S. iii und S. 24). Bereits in seinem versicherungstechnischen Gutachten per 31. Dezember 2011 schlug der Experte vor, den technischen Zinssatz allenfalls weiter zu senken (Beschwerdebeilage 17, versicherungstechnisches Gutachten per 31. Dezember 2011, S. 22). Der Stiftungsrat beschloss eine Senkung auf 2 %, wobei der technische Referenzzinssatz per 31. Dezember 2012 bei 3.5 % lag. Letzterer legt jedoch lediglich eine maximale Höhe fest, wobei eine Festlegung unter dieser Grenze bei Bedarf erlaubt bzw. angezeigt ist (vgl. E. 3.1.4.1). Letztlich wurde mit einem technischen Zinssatz von 2 % auch sichergestellt, dass der gewählte Zinssatz mit einer angemessenen Marge unterhalb der Rendite lag, die aufgrund der Anlagestrategie zu erwarten war und vorliegend laut Beschwerdegegnerin 2.15 % betrug (Beschwerdebeilage 18, versicherungstechnisches Gutachten per 31. Dezember 2012, S. 16).</w:t>
      </w:r>
    </w:p>
    <w:p>
      <w:r>
        <w:rPr>
          <w:b/>
        </w:rPr>
        <w:t>E. 3.1.5.3</w:t>
      </w:r>
    </w:p>
    <w:p>
      <w:r>
        <w:t>Insgesamt hat der Stiftungsrat vorliegend bei der Festlegung der Generationentafeln und des technischen Zinssatzes sein Ermessen nicht überschritten (vgl. hierzu: BGE 141 V 589 E. 3). Durch die Umstellung von den Periodentafeln auf die Generationentafeln und der Senkung des technischen Zinssatzes ist auch der Grundsatz der Gleichbehandlung nicht verletzt worden: Zu vergleichen sind vorliegend die austretenden Aktivversicherten mit den verbleibenden aktiven wie passiven Versicherten (BGE 140 V 22 E. 6.4; Vetter-Schreiber, a.a.O., Art. 27h BVV 2 Rz. 3). Das Verhältnis der aktiven Versicherten zu den Rentner hat sich bei der Beschwerdegegnerin durch die Teilliquidation von vier zu eins (Jahr 2011), zu zwei zu eins (Jahr 2012) verändert (Beschwerdebeilage 18, versicherungstechnisches Gutachten per 31. Dezember 2012, S. 2 f.). Aufgrund dieser Entwicklung musste die Beschwerdegegnerin tätig werden, gerade auch mit Blick auf die Empfehlung des Experten (E. 3.1.5.2). Die strukturelle Risikofähigkeit und auch die Sanierungsfähigkeit haben sich aufgrund des gestiegenen Rentneranteils per 31. Dezember 2012, welcher nur beschränkt in die Sanierung eingebunden werden kann (BGE 140 V 22 E. 6.3 und E. 6.4.2; Urteil des BVGer A-7617/2015 vom 15. Februar 2017 E. 3.1 ff.), deutlich verschlechtert. Vor allem die verbleibenden aktiven Versicherten haben die zusätzliche Mehrlast auferlegt bekommen. Sie mussten u.a. eine 0 % Verzinsung der Altersguthaben während der Dauer der Unterdeckung hinnehmen (Beschwerdebeilage 18, versicherungstechnisches Gutachten per 31. Dezember 2012, S. 15). Wären die technischen Grundlagen nicht angepasst geworden, wären die verbleibenden Aktiven (noch) schlechter gestellt geworden (vgl. BGE 140 V 22 E. 6.4). Insgesamt haben die austretenden Aktivversicherten und die Verbleibenden die Unterdeckung anteilsmässig tragen müssen und sind somit zumindest nicht schlechter gestellt worden. An diesem Ergebnis vermag auch der Einwand der Beschwerdeführenden, bei der Beschwerdegegnerin handle es sich um eine Beitragsprimatkasse und die Vorsorgekapitalien der beitragspflichtigen Versicherten entsprächen mindestens der Summe der Austrittsleistungen, nichts zu ändern. Zudem vermag nach dem Ausgeführten - insbesondere nach der aufgezeigten Entwicklung im Gesamtbestand von Rentnern und Aktiven - auch das Vorbringen der Beschwerdeführenden, die Entwicklung zu einer Rentnerkasse sei vorweggenommen worden, nicht zu überzeugen.</w:t>
      </w:r>
    </w:p>
    <w:p>
      <w:r>
        <w:rPr>
          <w:b/>
        </w:rPr>
        <w:t>E. 3.2.1</w:t>
      </w:r>
    </w:p>
    <w:p>
      <w:r>
        <w:t>Als Rückstellung Rentnerdeckungskapital bezeichnet die Beschwerdegegnerin versicherungstechnisch notwendige Rückstellungen, die zusammen mit der Rückstellung für die Zunahme der Lebenserwartung einen Einkauf der laufenden Renten bei einer Versicherungsgesellschaft oder einer Vorsorgeeinrichtung ermöglichen sollen (Art. 4 Abs. 1 Bst. f und Art. 9 des Reglements Rückstellungen und Reserven Pensionskasse Z._______ vom 17. Oktober 2012, Beilage 3 zur Beschwerdeantwort). Per 31. Dezember 2012 wurden unter diesem Titel erstmals Rückstellungen in Höhe von Fr. 25'435'000.-- gebildet (technische Rückstellungen insgesamt: Fr. 41'817'000.--; Beschwerdebeilage 5, Jahresabschluss per 31. Dezember 2012 mit Bericht der Revisionsstelle vom 25. April 2013, Anhang V 7 und Beschwerdebeilage 18, versicherungstechnisches Gutachten per 31. Dezember 2012, S. 20). Gemäss Bericht zur Teilliquidation habe die Beschwerdegegnerin per 31. Dezember 2012 über keine freien Mittel mehr verfügt, weshalb den Austretenden keine solchen hätten zugewiesen werden können. Da sich die Beschwerdegegnerin in Unterdeckung befinde, verfüge sie über keine Wertschwankungsreserven. Die technischen Rückstellungen würden den austretenden Destinatären mitgegeben, um ihre Freizügigkeitsleistung bis auf 100 % zu erhöhen, wobei die darüber hinausgehenden Mittel den "neuen Vorsorgeeinrichtungen" kollektiv übertragen würden. Diese hätten nämlich in gleichem Masse zur Äufnung der versicherungstechnischen Rückstellungen beigetragen, wie die übrigen Destinatäre der Beschwerdegegnerin (Beschwerdebeilage 14, Bericht zur Teilliquidation per 31. Dezember 2012, S. 7 f.). Die technischen Rückstellungen würden gemäss Art. 6 Abs. 2 des Teilliquidationsreglements bis zum Betrag der vollen Freizügigkeitsleistung individuell dazu verwendet, die aufgrund der Unterdeckung entstandene Kürzung zu kompensieren. Somit seien allen von der Teilliquidation betroffenen aktiven Versicherten die volle Freizügigkeitsleistung an die neue Vorsorgeeinrichtung überwiesen worden (Beschwerdebeilage 14, Bericht zur Teilliquidation per 31. Dezember 2012, S. 10 f.). Das Sparkapital bzw. die Vorsorgekapitalien der aktiven Versicherten, welches zur übernehmenden und beschwerdeführenden Pensionskasse übertragen wurde, beträgt Fr. 66'539'815.--. Die technischen Rückstellungen in Höhe von Fr. 6'574'943.-- wurden um Fr. 4'670'328.-- anteilsmässig gekürzt und die Differenz von Fr. 1'904'615.-- übertragen (Beschwerdebeilage 14, Bericht zur Teilliquidation per 31. Dezember 2012, S. 10 f. und Beschwerdebeilage 18, versicherungstechnisches Gutachten per 31. Dezember 2012, S. 22).</w:t>
      </w:r>
    </w:p>
    <w:p>
      <w:r>
        <w:rPr>
          <w:b/>
        </w:rPr>
        <w:t>E. 3.2.2</w:t>
      </w:r>
    </w:p>
    <w:p>
      <w:r>
        <w:t>Die Beschwerdeführenden bringen vor, die Vorinstanz habe es unterlassen, die reglementarische Grundlage mit Bezug auf die Bildung der Rückstellung Rentnerdeckungskapital zu prüfen. Im Rückstellungsreglement vom 1. Januar 2006 sei keine Rückstellung Rentnerdeckungskapital vorgesehen gewesen. Die reglementarische Grundlage sei erst mit Beschluss vom 17. Oktober 2012 per 3. September 2012 und somit im Hinblick auf die bereits beschlossene Teilliquidation per 31. Dezember 2012 erlassen worden. Die Grundlage sei also wenige Tage/Wochen vor dem Bilanzstichtag der Teilliquidation rückwirkend geändert worden und verletze so den Grundsatz, wonach Teilliquidationen auf der Grundlage von Reglementen durchzuführen seien, wobei das ganze Vorgehen auch nicht dem Grundsatz der Stetigkeit entspreche. Im Teilliquidationsreglement vom 1. Januar 2009 und auch im [bisherigen] Rückstellungsreglement fehle eine Regelung, wonach von einer anteilsmässigen Aufteilung der technischen Rückstellungen abgewichen oder ganz darauf verzichtet werden dürfe bzw. infolge einer strukturellen Änderung des Versichertenbestandes im Rahmen einer Teilliquidation eine Rückstellung Rentnerdeckungskapital gebildet werden dürfe. Die zusätzliche Rückstellung Rentnerdeckungskapital und dessen damit einhergehende Verstärkung würden nur dem verbleibenden Rentnerbestand zugutekommen und verletzten so den Grundsatz der Gleichbehandlung. Infolge Unterdeckung seien die Vorsorgekapitalien und technischen Rückstellungen des übertretenden Bestandes um Fr. 4'670'378.-- [recte: Fr. 4'670'328.--] gekürzt worden (vgl. Sachverhalt Bst. D und Bst. J). Massgebend für die Teilliquidation - so die Beschwerdegegnerin - seien die zu ihrem Zeitpunkt in Kraft stehenden Reglemente. Das Teilliquidationsreglement sei seit dem 1. Juni 2009 in Kraft, das Reglement Rückstellungen und Reserven gelte seit dem 3. September 2012. Diese seien korrekt in Kraft gesetzt worden, wobei das vorherige Reglement Rückstellungen und Reserven vom 27. Februar 2012 in Art. 12 die Möglichkeit einer Abänderung des Reglements durch den Stiftungsrat - wie vorliegend geschehen - vorgesehen habe. Mit Beschluss vom 17. Oktober 2012 habe der Stiftungsrat das Reglement abgeändert und ab 3. September in Kraft gesetzt, wobei eine Rückstellung Rentnerdeckungskapital nun in Art. 4 aufgezählt und im neu geschaffenen Art. 9 präzisiert werde. Beide Reglemente seien der Aufsicht zur Kenntnis gebracht worden. Gestützt darauf sei im Rahmen der Teilliquidation die Rückstellung für das Rentnerdeckungskapital gebildet worden. Die Rückstellung sei notwendig geworden, da insgesamt 452 aktive Versicherte ausgetreten seien, die übernehmende und beschwerdeführende Pensionskasse aber nur die aktiven Versicherten übernommen und sich gleichzeitig geweigert habe, die Rentenbezüger zu übernehmen. Die austretenden aktiven Versicherten hätten somit nicht mehr mithelfen können, die laufenden Renten aus demselben Unternehmensteil mitzufinanzieren oder Sanierungsbeiträge zu leisten; das Risiko sei vollständig bei den [zurückbleibenden] Aktivversicherten verblieben. Das Reglement Rückstellungen und Reserven sei somit am 17. Oktober 2012 recht- und kompetenzmässig vom Stiftungsrat beraten, verabschiedet und rückwirkend ab 3. September 2012 in Kraft gesetzt worden. Es sei zweieinhalb Monate vor dem Bilanzstichtag der Teilliquidation - und somit nicht kurzfristig - verabschiedet worden [mit Gültigkeit per 3. September 2012] und zähle die Rückstellung Rentnerdeckungskapital nun zu den versicherungstechnisch notwendigen Rückstellungen (vgl. Sachverhalt Bst. I und Bst. L).</w:t>
      </w:r>
    </w:p>
    <w:p>
      <w:r>
        <w:rPr>
          <w:b/>
        </w:rPr>
        <w:t>E. 3.2.3</w:t>
      </w:r>
    </w:p>
    <w:p>
      <w:r>
        <w:t>Im Rückstellungsreglement vom 25. Oktober 2006, gültig ab 1. Januar 2006 (Beschwerdebeilage 15) und im nachgereichten Rückstellungsreglement vom 27. Februar 2012 und mit Gültigkeit ab 31. Dezember 2011 ist tatsächlich keine Rückstellung Rentnerdeckungskapital vorgesehen. Art. 12 Abs. 1 des nachgereichten Rückstellungsreglements bestimmt freilich - wie bereits im Rückstellungreglement vom 25. Oktober 2006 und in Art. 13 des Reglements vom 17. Oktober 2012 -, dass das Reglement vom Stiftungsrat abgeändert werden kann (Eingabe Beschwerdegegnerin vom 1. März 2017, Beilage 3, Reglement Rückstellungen und Reserven vom 27. Februar 2012). An der Sitzung vom 3. September 2012 wurde das Rückstellungsreglement vom 27. Februar 2012 durch den Stiftungsrat durch die "neue" Rückstellung Rentnerdeckungskapital ergänzt und Art. 9 "Rückstellung Rentnerdeckungskapital" neu aufgenommen. In der Stiftungsratssitzung vom 17. Oktober 2012 wurde Art. 9 "optimaler" formuliert und rückwirkend per 3. September 2012 in Kraft gesetzt (Eingabe Beschwerdegegnerin vom 1. März 2017, Beilage 2, Protokoll Stiftungsratssitzung vom 17. Oktober 2012, S. 3). Der Stiftungsrat war demnach grundsätzlich befugt, das Rückstellungsreglement vom 27. Februar 2012 abzuändern und an seiner Stiftungsratssitzung vom 3. September 2012 bzw. vom 17. Oktober 2012 eine Rückstellung Rentnerdeckungskapital zu bilden. Die Aufsichtsbehörde wurde jeweils mit einer Kopie des Protokolls informiert. Die Rückstellung wurde somit recht- und kompetenzmässig vom Stiftungsrat beraten, verabschiedet und rückwirkend ab 3. September 2012 in Kraft gesetzt. Dass er dies zeitlich nach Beschluss über das Vorliegen eines Teilliquidationssachverhaltes vom 27. August 2012 (Beschwerdebeilage 14, Bericht zur Teilliquidation per 31. Dezember 2012, S. 12) - und somit im Hinblick auf eine Teilliquidation - tat, ist nachfolgend daraufhin zu überprüfen, ob dadurch - wie von den Beschwerdeführenden geltend gemacht - der Grundsatz, wonach Teilliquidationen auf der Grundlage von Reglementen durchzuführen sind, und der Grundsatz der Stetigkeit verletzt worden sind.</w:t>
      </w:r>
    </w:p>
    <w:p>
      <w:r>
        <w:rPr>
          <w:b/>
        </w:rPr>
        <w:t>E. 3.2.4.1</w:t>
      </w:r>
    </w:p>
    <w:p>
      <w:r>
        <w:t>In der Praxis können die Rentner nur eingeschränkt an eine neue Vorsorgeeinrichtung übertragen werden (vgl. Art. 53e Abs. 4 ff. BVG), wodurch im Rahmen einer Teilliquidation oft die strukturelle Risikofähigkeit der abgebenden Vorsorgeeinrichtung geschmälert wird. Der Grundsatz der Gleichbehandlung steht in gewissem Sinn in Konflikt mit dem Grundsatz der Fortbestandsinteressen der abgebenden Vorsorgeeinrichtung. Mit einer anteilsmässigen "Mitgabe" von technischen Rückstellungen - in der Praxis bedeutet dies in der Regel eine Aufteilung der zu übertragenden Vorsorgekapitalien und technischen Rückstellungen am gesamten Vorsorgekapital inklusive technischer Rückstellungen - wird dem Grundsatz der Gleichbehandlung genügend Rechnung getragen. Um den Fortbestandsinteressen der abgebenden Vorsorgeeinrichtung gerecht zu werden, werden vor der Teilliquidation zusätzliche Rückstellungen gebildet, bestehende Rückstellungen erhöht oder die Bilanzierung der Verpflichtung angepasst (Schlumpf/Trüssel, a.a.O., S. 57). Zeigt die Bilanz zum Teilungsstichtag eine Unterdeckung, so kann von einer Gleichbehandlung der austretenden und der verbleibenden Versicherten ausgegangen werden, wenn nach dem Ausscheiden der austretenden Versicherten die Bilanz der verbleibenden Versicherten den gleichen Deckungsgrad wie die Bilanz zur Feststellung des tatsächlichen Vermögens vor der Teilung aufweist (BGE 140 V 22 E. 6.4.1 mit Verweis auf BGE 138 V 303 E. 3.4). Ein anteilsmässiger Abzug des Fehlbetrags beim Deckungskapital eines jeden austretenden Rentners bzw. Aktivversicherten oder eines Kollektivs aus Aktivversicherten und Rentnern gestützt auf das Teilliquidationsreglements ist rechtens; eine gegenteilige Handhabung führt gerade dazu, dass das Gleichheitsgebot verletzt wird (BGE 140 V 22 E. 6.4.1 f.; Ambrosini/Trüssel, a.a.O., S. 49). Vorliegend wurden - wie in E. 3.2.1 bereits festgehalten - das Sparkapital bzw. die Vorsorgekapitalien und die technischen Rückstellungen der austretenden aktiven Versicherten der Beschwerdegegnerin, welche sich in Unterdeckung befand, anteilsmässig gekürzt und übertragen. Das Gleichheitsgebot ist dadurch nicht verletzt worden. Wäre keine Kürzung erfolgt, wäre der Deckungsgrad der Beschwerdegegnerin noch weiter gesunken und hätte insbesondere die verbleibenden Aktiven belastet (vgl. BGE 140 V 22 E. 6.4.2).</w:t>
      </w:r>
    </w:p>
    <w:p>
      <w:r>
        <w:rPr>
          <w:b/>
        </w:rPr>
        <w:t>E. 3.2.4.2</w:t>
      </w:r>
    </w:p>
    <w:p>
      <w:r>
        <w:t>Damit eine konkrete Rückstellung grundsätzlich zulässig ist und im Rahmen einer Teilliquidation geschützt werden kann, muss sie sich als erstes (I) auf eine Grundlage im Rückstellungreglement stützen (Peter/Roos, Technische Rückstellungen aus rechtlicher Sicht, ST 6-7/2008 S. 460). 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Durch ein Rückstellungsreglement wird das Ermessen des Stiftungsrates in der Rückstellungspolitik eingeschränkt (vgl. E. 2.1.2; BGE 141 V 589 E. 4.2.2). Als zweites (II) müssen die Rückstellungen - dem Grundsatz der Stetigkeit (E. 2.5.2) entsprechend - grundsätzlich in der Vergangenheit tatsächlich gebildet und in der Bilanz ausgewiesen worden sein (Bilanzierung in der Vergangenheit; Peter/Roos, a.a.O., S. 460; vgl. auch: Erich Peter, Die Verteilung von Rückstellungen bei Teilliquidation - das korrekte Vorgehen, SZS 2014 S. 87). Diese Grundsätze gelten aber nicht ausnahmslos: Es kann notwendig und zulässig sein, anlässlich einer Teilliquidation für den Fortbestand (zusätzliche) technische Rückstellungen zu bilden, für welche keine Grundlage im Rückstellungsreglement besteht, und obwohl diese Rückstellung zuvor nicht gebildet wurde. Rückstellungsreglemente regeln (üblicherweise) nämlich nur Rückstellungen für eine absehbare, "normale" Entwicklung der Vorsorgetätigkeit. Im Rahmen einer Teilliquidation können sich die Verhältnisse, so insbesondere die Risikofähigkeit der Vorsorgeeinrichtung, jedoch schlagartig grundlegend ändern (Peter/Roos, a.a.O., S. 460; Peter, a.a.O., S. 87 f.). Eine grössere Verschiebung des Verhältnisses zwischen aktiven Versicherten und Rentnern [im Rahmen einer Teilliquidation] kann zu einem veränderten Rückstellungsbedarf führen bzw. kann es nötig werden, zusätzliche Rückstellungen zu bilden, die der neuen Risikosituation durch den (Teil-)Wegfall der Risikoträger Rechnung trägt (BGE 140 V 121 E. 5.5; Ambrosini/Trüssel, a.a.O., S. 49 f.; vgl. auch: Hans-Ulrich Stauffer, Berufliche Vorsorge, 2. Aufl. 2012, Rz. 1359). Hierbei kann es also durchaus sein, dass die zu bildenden Rückstellungen keine Grundlage im Rückstellungsreglement finden bzw. deren Bildung zuvor nicht notwendig war. Solche Rückstellungen sind aber dennoch zulässig und halten vor dem Grundsatz der Stetigkeit stand, wenn sie versicherungstechnische Risiken abdecken, die beispielsweise erst durch die veränderte Risikostruktur der Vorsorgeeinrichtung als Folge der Teilliquidation entstanden sind. Diesfalls ist der Bedarf an einer Rückstellung vom Experten für berufliche Vorsorge nachzuweisen und die Rückstellungen künftig in der Bilanz der Vorsorgeeinrichtung auszuweisen (Peter/Roos, a.a.O., S. 460 f.; Peter, a.a.O., S. 88; so auch: Wilson, a.a.O., S. 72 Rz. 221 f.).</w:t>
      </w:r>
    </w:p>
    <w:p>
      <w:r>
        <w:rPr>
          <w:b/>
        </w:rPr>
        <w:t>E. 3.2.4.3</w:t>
      </w:r>
    </w:p>
    <w:p>
      <w:r>
        <w:t>Wie bereits erwähnt, hat sich die demografische Struktur der Beschwerdegegnerin deutlich verschlechtert (erhebliche Bestandesveränderung; vgl. E. 3.1.5.3). Deshalb beschloss der Stiftungsrat am 3. September 2012 bzw. am 17. Oktober 2012 - nach Beschluss über das Vorliegen eines Teilliquidationssachverhaltes - eine Rückstellung Rentnerdeckungskapital zu bilden und rückwirkend ab 3. September 2012 in Kraft zu setzen (E. 3.2.3). Die reglementarische Grundlage für eine Rückstellung Rentnerdeckungskapital ist folglich zweieinhalb Monate vor dem Teilliquidationsbilanzstichtag per 31. Dezember 2012 eingeführt worden. Somit bestand (immerhin) eine gültig zustande gekommene reglementarische Grundlage. Selbst wenn jedoch diese Rückstellung im Rückstellungsreglement nicht vorgesehen gewesen wäre, wäre gegen eine solche (bei Teilliquidation) neu geschaffene nach dem eben Ausgeführten vorliegend nichts einzuwenden, da der Experte für berufliche Vorsorge den Bedarf an einer Rückstellung nachgewiesen hat und diese schliesslich in der Bilanz ausgewiesen worden ist: Gemäss dem Bericht des Experten zur Teilliquidation per 31. Dezember 2012 sei diese Rückstellung nämlich notwendig geworden, da die Entwicklung des Bestands der aktiven Versicherten über die nächsten Jahre unsicher sei. Es bestehe aufgrund des intensiven Wettbewerbs in der Branche E._______ ein nicht zu vernachlässigendes Risiko, dass die Zahl der aktiven Versicherten in zwei Jahren erneut erheblich sinken könnte (vgl. auch Beschwerdebeilage 18, versicherungstechnisches Gutachten per 31. Dezember 2012, S. 6 und S. 24). Mehr als 50 % der Rentenbezüger der Beschwerdegegnerin seien der Branche E._______ der B._______ zuzuordnen, deren Aktiven [als Abgangsbestand] ausgetreten seien und somit nicht mehr zur Sicherstellung der laufenden Renten beigezogen werden könnten. Die verbleibenden Aktiven und die Stifterfirma trügen nun dieses finanzielle Risiko (zum Ganzen: Beschwerdebeilage 14, Bericht zur Teilliquidation per 31. Dezember 2012, S. 6 f.). Laut Experte sei durch die Bildung der Rückstellung Rentnerdeckungskapital der deutlichen Verschlechterung der strukturellen Risikofähigkeit und der Sanierungsfähigkeit angemessen Rechnung getragen worden. Um das finanzielle Gleichgewicht der Beschwerdegegnerin mittelfristig wahren zu können, seien die Anpassungen notwendig und - kombiniert mit den eingeleiteten Sanierungsmassnahmen - auch dazu geeignet gewesen, dem Stiftungsrat auch in Zukunft die Entscheidungsfreiheit zu bieten, bestmöglich über den Fortbestand der Beschwerdegegnerin zu entscheiden (Beschwerdebeilage 18, versicherungstechnisches Gutachten per 31. Dezember 2012, S. 24). Insgesamt sind der Grundsatz, wonach Teilliquidationen auf der Grundlage von Reglementen durchzuführen sind und der Grundsatz der Stetigkeit also nicht verletzt worden. Die in Art. 9 geschaffene Rückstellung Rentnerdeckungskapital verstösst auch nicht gegen den Grundsatz von Treu und Glauben.</w:t>
      </w:r>
    </w:p>
    <w:p>
      <w:r>
        <w:rPr>
          <w:b/>
        </w:rPr>
        <w:t>E. 3.3.1</w:t>
      </w:r>
    </w:p>
    <w:p>
      <w:r>
        <w:t>Schliesslich hat der Stiftungsrat an seiner Sitzung vom 12. April 2013 beschlossen, dass er bis Ende 2014 über die weitere Verwendung der zur Sicherung der Vorsorgezwecke gebildeten Rückstellung Rentnerdeckungskapital entscheiden müsse. Sollte sich bis dahin herausstellen, dass diese nicht oder nur teilweise benötigt werde, würden alle von der Teilliquidation per 31. Dezember 2012 betroffenen Destinatäre anteilsmässig partizipieren (Beschwerdebeilage 14, Bericht zur Teilliquidation per 31. Dezember 2012, S. 7). Am 22. Dezember 2014 hat der Stiftungsrat - aufgrund der Befürchtung, dass innerhalb der nächsten zwei Jahre ausschliesslich Rentner in der Beschwerdegegnerin verbleiben könnten - ein neues Reglement Rückstellungen und Reserven verabschiedet. In Art. 9 wurde eine neue Bestimmung für eine Rückstellung Rentnerkasse geschaffen bzw. die Rückstellung Rentnerdeckungskapital per 31. Dezember 2014 in die Rückstellung Rentnerkasse umgewandelt. Besagter Art. 9 führt aus, dass die Rückstellung Rentnerkasse gebildet werde, da ein grosses Risiko bestehe, dass innerhalb von zwei Jahren ausschliesslich Rentner in der Pensionskasse verbleiben könnten und daher zusätzliche Mittel zur Sicherung der laufenden Rentenverpflichtungen gebildet werden müssten (Beschwerdebeilage 6, Bericht zur Teilliquidation per 31. Dezember 2014, S. 6; vgl. vorinstanzliches Verfahren act. 26, Beilage 4, Reglement Rückstellungen und Reserven vom 22. Dezember 2014, S. 4). Die Vorinstanz wies die Beschwerdegegnerin in ihrem Einspracheentscheid (Ziff. 2) an, eine Nachverteilung vorzunehmen, sofern innerhalb der nächsten zwei Jahre seit Bildung der Rückstellung Rentnerkasse, d.h. bis am 31. Dezember 2016 die genannte Rückstellung aufgelöst werde.</w:t>
      </w:r>
    </w:p>
    <w:p>
      <w:r>
        <w:rPr>
          <w:b/>
        </w:rPr>
        <w:t>E. 3.3.2</w:t>
      </w:r>
    </w:p>
    <w:p>
      <w:r>
        <w:t>Die Beschwerdegegnerin könne - so die Beschwerdeführenden - alleine über eine allfällige Auflösung oder Weiterführung der Rückstellung Rentnerkasse entscheiden, indem sie die Übertragung des Rentnerbestandes allenfalls erst nach dem 31. Dezember 2016 vornehme und so die Nachverteilung vermeiden könnte. Die austretenden Aktivversicherten würden damit das Risiko tragen, dass die Rentner nicht auf eine andere Vorsorgeeinrichtung übertragen werden könnten. Ursprünglich sei lediglich vorgesehen gewesen, dass der Stiftungsrat bis Ende 2014 zu entscheiden habe, ob er die Rentner auf eine andere Vorsorgeeinrichtung übertrage (vgl. Sachverhalt Bst. D). Aufgrund der sich angeblich abzeichnenden Entwicklung zur Rentnerkasse bzw. der Übertragung des Rentnerbestandes an eine andere Vorsorgeeinrichtung sei die Bildung der Rückstellung Rentnerkasse aus Sicht der Vorinstanz notwendig und zulässig gewesen. Die mutmassliche Entwicklung sei mit dem Verkauf des Geschäftsbereichs C._______ begründet worden, wobei der Käufer bereits Ende März 2015 bekannt gewesen sei. Bereits jetzt stehe aber fest, dass die befürchtete Entwicklung zur Rentnerkasse bis 31. Dezember 2016 "sehr wahrscheinlich" nicht eintreten werde, womit die Voraussetzung für die per 31. Dezember 2014 gebildete Rückstellung Rentnerkasse entfalle. Die Beschwerdegegnerin prüfe den Anschluss an die Sammelstiftung A._______ (nachfolgend: Sammelstiftung A._______), wobei die aktiven und passiven Versicherten übertragen würden. Der Stiftungsrat selber habe festgehalten, dass es sich um ein gutes Angebot handle, ein Anschluss möglich sei und im Falle einer Unterdeckung die Sanierung wohl günstiger wäre, als bei vollständiger Autonomie. Dennoch habe er beschlossen, weitere Offerten für einen Sammelstiftungsanschluss einzuholen. Die Annahme des Angebots der Sammelstiftung A._______, welche mit Wirkung per 1. Januar 2016 hätte erfolgen können, hätte zur Folge gehabt, dass die gesamte Rückstellung Rentnerkasse nicht mehr erforderlich gewesen wäre und eine Nachverteilung hätte erfolgen können. Deshalb seien die Beschwerdeführenden so zu stellen, wie wenn die Beschwerdegegnerin das Angebot zum Anschluss angenommen hätte und die Rückstellung Rentnerkasse damit hinfällig geworden wäre (vgl. Sachverhalt Bst. J). Die Beschwerdegegnerin führt aus, sie habe zum damaligen Zeitpunkt [März 2015] davon ausgehen müssen, in naher Zukunft zu einer Rentnerkasse zu werden, da die Z._______ AG entschieden hatte, den Geschäftsbereich C._______ zu verkaufen. Erst am 19. August 2015 sei klar gewesen, dass der Käufer - welcher tatsächlich vorher feststand - alle Verpflichtungen übernehmen werde. Der Stiftungsrat habe jedoch vor dem 31. Dezember 2014 - nämlich an seiner Sitzung vom 26. November 2014 - darüber entscheiden müssen, wie er betreffend Rückstellung Rentnerdeckungskapital weiter verfahre. Damals habe aber noch nicht einmal festgestanden, wer als Käufer in Frage komme. Die per 31. Dezember 2014 gebildete Rückstellung Rentnerkasse sei vor dem Hintergrund eines weiteren "verlorenen Accounts" sowie des zum damaligen Zeitpunkt ungewissen Verkaufs der Stifterfirma der Beschwerdegegnerin, in deren Zug ein Austritt von allen Aktiven bis auf drei Personen für wahrscheinlich gehalten worden sei, erfolgt. Zudem könne der Stiftungsrat nicht willkürlich über das weitere Verfahren mit der Rückstellung Rentnerkasse entscheiden, sondern unterstehe der Aufsicht der Vorinstanz. Es sei zwar richtig, dass ein Anschluss an eine Sammelstiftung geprüft werde; im damaligen Zeitpunkt [März 2015] sei aber keine Sammeleinrichtung bereit gewesen, die Beschwerdegegnerin aufzunehmen. Ein Anschluss an die Sammelstiftung A._______ per 1. Januar 2016 sei aber nie geplant gewesen bzw. sei die Offertanfrage per 1. Januar 2016 vielmehr zu Vergleichszwecken mit den Jahresendwerten der Beschwerdegegnerin per 31. Dezember 2015 gedacht gewesen. Eine Nachverteilung könne frühestens per 31. Dezember 2016 erfolgen, sofern nicht alle Mittel zur Sicherung der Vorsorgezwecke benötigt würden (vgl. Sachverhalt Bst. L).</w:t>
      </w:r>
    </w:p>
    <w:p>
      <w:r>
        <w:rPr>
          <w:b/>
        </w:rPr>
        <w:t>E. 3.3.3</w:t>
      </w:r>
    </w:p>
    <w:p>
      <w:r>
        <w:t>Wie bereits ausgeführt, kann eine grössere Verschiebung des Verhältnisses zwischen aktiven Versicherten und Rentnern [im Rahmen einer Teilliquidation] zu einem veränderten Rückstellungsbedarf führen bzw. kann es nötig werden, zusätzliche Rückstellungen zu bilden, die der neuen Risikosituation durch den (Teil-)Wegfall der Risikoträger Rechnung trägt. Dabei sind Rückstellungen, welche keine Grundlage im Rückstellungsreglement finden bzw. deren Bildung zuvor nicht notwendig war, dennoch zulässig und halten vor dem Grundsatz der Stetigkeit stand, wenn sie versicherungstechnische Risiken abdecken, die beispielsweise erst durch die veränderte Risikostruktur der Vorsorgeeinrichtung als Folge der Teilliquidation entstanden sind. Der Bedarf an einer Rückstellung ist jedoch vom Experten für berufliche Vorsorge nachzuweisen und die Rückstellungen künftig in der Bilanz der Vorsorgeeinrichtung auszuweisen (hierzu bereits ausführlich: E. 3.2.4.2).</w:t>
      </w:r>
    </w:p>
    <w:p>
      <w:r>
        <w:rPr>
          <w:b/>
        </w:rPr>
        <w:t>E. 3.3.4</w:t>
      </w:r>
    </w:p>
    <w:p>
      <w:r>
        <w:t>Laut Bericht des Experten (Beschwerdebeilage 6, Bericht zur Teilliquidation per 31. Dezember 2014, S. 6) und seinen Ausführungen im Schreiben vom 30. März 2015 an die Vorinstanz (vorinstanzliches Verfahren act. 26, Beilage 1) sei die Rückstellung Rentnerkasse für die Sicherung der Vorsorgezwecke der Beschwerdegegnerin notwendig geworden. Vorliegend verlor die Arbeitgeberfirma der Beschwerdegegnerin nämlich einen weiteren sogenannten Account, was dazu führte, dass 255 aktiv versicherte Personen aus der Beschwerdegegnerin austraten, was eine erneute Teilliquidation auslöste (Beschwerdebeilage 6, Bericht zur Teilliquidation per 31. Dezember 2014, S. 1 ff.). Den nunmehr 485 Aktiven standen 388 Rentner gegenüber (Beschwerdebeilage 9, Jahresabschluss per 31. Dezember 2014, S. 8), was wiederum eine Verschlechterung der Bestandesstruktur darstellt. Überdies hat die Konzernleitung der Arbeitgeberfirma der Beschwerdegegnerin beschlossen, den Bereich C._______ zu verkaufen. Von dieser Firmentransaktion waren - abgesehen von drei Personen - alle Aktivversicherten betroffen. Je nach Ausgestaltung der Firmentransaktion - insbesondere, ob der Käufer, welcher wohl im März 2015 feststand, bereit war, alle Verpflichtungen zu übernehmen, was wiederum gemäss Beschwerdegegnerin erst am 19. August 2015 bekannt war - bestand in der Tat ein erhebliches Risiko, dass eine reine Rentnerkasse entsteht (vgl. Beschwerdebeilage 6, Bericht zur Teilliquidation per 31. Dezember 2014, S. 6). Auch die Beschwerdeführenden gingen noch im Rahmen ihrer Beschwerde vom 16. September 2015 davon aus, dass die Beschwerdegegnerin eine reine Rentnerkasse werde. Deshalb ist nicht zu beanstanden, wenn der Stiftungsrat der Beschwerdegegnerin am 22. Dezember 2014 ein neues Reglement Rückstellungen und Reserven verabschiedet und per Bilanzstichtag der (zweiten) Teilliquidation am 31. Dezember 2014 die Rückstellung Rentnerkasse gebildet hat. An der Sitzung vom 26. Januar 2015 hat der Stiftungsrat u.a. beschlossen, die Rückstellung Rentnerkasse für die Dauer von maximal zwei Jahren zu bilden. Sollte sich bis Ende 2016 herausstellen, dass diese Rückstellung nicht oder nur teilweise zur Sicherung der Vorsorgezwecke benötigt werde, würden bei deren Auflösung alle Destinatäre, die von den Teilliquidationen per 31. Dezember 2012 und 2014 betroffen waren, anteilsmässig partizipieren (Beschwerdebeilage 6, Bericht zur Teilliquidation per 31. Dezember 2014, S. 6 f.). Da viele der angefragten Sammelstiftungen einen Anschluss der Beschwerdegegnerin ablehnten (vorinstanzliches Verfahren act. 26, Beilage 2, Protokoll der Stiftungsratssitzung vom 26. Januar 2015, S. 2), hat der Experte im Auftrag des Stiftungsrates eine Anfrage bei der D._______ gemacht, welche sich gemäss eigenen Angaben auf die Übernahme von Rentnerbeständen spezialisiert habe. Die darauf folgende indikative Offerte ergab, dass zusätzlich zu den in der Beschwerdegegnerin für die Rentner gebildeten Vorsorgekapitalien inkl. Rückstellung Rentnerkasse zwischen Fr. 2.6 Mio. (tieferes Sicherheitsniveau) bis Fr. 37 Mio. (höchstes Sicherheitsniveau) eingeschossen hätten werden müssen (vorinstanzliches Verfahren act. 26, Beilage 3 bzw. Beilage 1, E-Mail mit D._______, S. 2). Der Experte schloss daraus, dass ein Transfer der laufenden Alters- und Ehegattenrenten der Beschwerdegegnerin trotz der Bildung der Rückstellung Rentnerkasse zusätzliche Kosten auslösen würde und eine Rückstellung Rentnerkasse im aktuellen Zins- und Wirtschaftsumfeld notwendig sei, zumal die Lebensversicherungsgesellschaften nicht mehr bereit seien, für Rentnerbestände in der Grösse desjenigen der Beschwerdegegnerin eine Offerte zur Übernahme der Rentner zu unterbreiten (vorinstanzliches Verfahren act. 26, Beilage 1, S. 2 f.). Es besteht kein Anlass, von dieser Expertenmeinung abzuweichen. Dass der Stiftungsrat in Anbetracht der gesamten Umstände die Rückstellung Rentnerkasse (noch) nicht aufgelöst hat, ist insgesamt nicht zu beanstanden. Da laut der Beschwerdegegnerin ein Anschluss an die Sammelstiftung A._______ per 1. Januar 2016 nie geplant bzw. zu Vergleichszwecken mit den Jahresendwerten per 31. Dezember 2015 gedacht gewesen sei, stellt sich schon deshalb die Frage, ob die Beschwerdeführenden überhaupt so gestellt werden könnten, wie wenn die Beschwerdegegnerin das "Angebot" angenommen hätte. Dies kann offen bleiben, da auch der Experte an der Stiftungsratssitzung vom 25. Januar 2016 den Wechsel zu der Sammelstiftung A._______ als "nicht optimal" bezeichnet hat (vgl. Replikbeilage 6, Protokoll der Stiftungsratssitzung vom 25. Januar 2016, S. 6). Letztlich liegt es in der Entscheidkompetenz des Stiftungsrates - unter Aufsicht der Vorinstanz -, welcher Vorsorgeeinrichtung er sich anschliessen bzw. ob er weitere Offerten für einen Sammelstiftungsanschluss einholen möchte. Gemäss Unterlagen der Beschwerdegegnerin hat sich die Sammelstiftung A._______ im Frühjahr 2017 von ihrer Offertstellung zurückgezogen, wobei über einen Anschluss an eine Sammelstiftung voraussichtlich im Juni 2017 entschieden werde. Auf eine Edition der Jahresrechnung per 31. Dezember 2016 - wie von den Beschwerdeführenden gefordert - kann somit verzichtet werden. Wiederum ist hierbei an die der Aufsichtsbehörde bzw. dem Bundesverwaltungsgericht von Rechts wegen auferlegte Zurückhaltung zu erinnern (E. 1.4).</w:t>
      </w:r>
    </w:p>
    <w:p>
      <w:r>
        <w:rPr>
          <w:b/>
        </w:rPr>
        <w:t>E. 3.3.5</w:t>
      </w:r>
    </w:p>
    <w:p>
      <w:r>
        <w:t>Die Rückstellung Rentnerdeckungskapital als versicherungstechnisch notwendige Rückstellung wurde gebildet, um einen Einkauf der laufenden Renten bei einer Versicherungsgesellschaft oder einer Vorsorgeeinrichtung zu ermöglichen (E. 3.2.1). Diese Rückstellung wurde per 31. Dezember 2014 in die Rückstellung Rentnerkasse umgewandelt. Aufgrund der erneuten Verschlechterung der Bestandesstruktur per Ende 2014 und des zum damaligen Zeitpunkt tatsächlich vorliegenden Risikos, eine Rentnerkasse zu werden, ist die Bildung der Rückstellung Rentnerkasse zulässig gewesen. Solange also kein Anschluss bei einer neuen Vorsorgeeinrichtung besteht bzw. sich nicht herausstellt, dass die Rückstellung nicht mehr benötigt wird, ist deren Beibehaltung nicht zu beanstanden.</w:t>
      </w:r>
    </w:p>
    <w:p>
      <w:r>
        <w:rPr>
          <w:b/>
        </w:rPr>
        <w:t>E. 3.4</w:t>
      </w:r>
    </w:p>
    <w:p>
      <w:r>
        <w:t>Nach dem Gesagten ist die Beschwerde abzuweisen.</w:t>
      </w:r>
    </w:p>
    <w:p>
      <w:r>
        <w:rPr>
          <w:b/>
        </w:rPr>
        <w:t>E. 4.1</w:t>
      </w:r>
    </w:p>
    <w:p>
      <w:r>
        <w:t>Bei diesem Ausgang des Verfahrens sind den unterliegenden Beschwerdeführenden die Verfahrenskosten, welche auf Fr. 10'000.-- festzusetzen sind, aufzuerlegen (Art. 63 Abs. 1 VwVG). Der einbezahlte Kostenvorschuss in gleicher Höhe wird zur Bezahlung der Verfahrenskosten verwendet.</w:t>
      </w:r>
    </w:p>
    <w:p>
      <w:r>
        <w:rPr>
          <w:b/>
        </w:rPr>
        <w:t>E. 4.2</w:t>
      </w:r>
    </w:p>
    <w:p>
      <w:r>
        <w:t>Eine Parteientschädigung an die unterliegenden Beschwerdeführenden ist nicht zuzusprechen (Art. 64 Abs. 1 VwVG i.V.m. Art. 7 Abs. 1 des Reglements vom 21. Februar 2008 über die Kosten und Entschädigungen vor dem Bundesverwaltungsgericht [VGKE, SR 173.320.2]). Zwar haben Trägerinnen der beruflichen Vorsorge praxisgemäss keinen Anspruch auf eine Parteientschädigung zulasten der Versicherten, damit nicht der im Sozialversicherungsprozess geltende Grundsatz der Kostenfreiheit zugunsten der oft sozial schwachen Partei seines Gehalts entleert wird (vgl. statt vieler: BGE 126 V 143 E. 4; Urteile des BVGer A-494/2013 vom 10. November 2016 E. 7 und A-693/2016 vom 28. Juli 2016 E. 7, mit Hinweisen). Der obsiegenden Beschwerdegegnerin - als Trägerin der beruflichen Vorsorge - steht damit praxisgemäss gegenüber den versicherten Personen (Beschwerdeführende 1-24) kein Anspruch auf eine Parteientschädigung zu. Insoweit freilich die Beschwerdeführende 25 als übernehmende Pensionskasse betroffen ist, hat sie der obsiegenden Beschwerdegegnerin eine Parteientschädigung auszurichten (vgl. Art. 64 Abs. 2 VwVG; vgl. Urteil des BVGer A-5524/2015 vom 1. September 2016 E. 9.2). Wird keine Kostennote eingereicht, setzt das Gericht die Entschädigung auf Grund der Akten fest (Art. 14 Abs. 2 VGKE). Angesichts der Bedeutung der Streitsache und des Umfanges des aus den vorliegenden Akten ersichtlichen Aufwandes ist die Parteientschädigung praxisgemäss auf Fr. 5'000.-- (inkl.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