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A-5783/2020 vom 12. April 2022</w:t>
      </w:r>
    </w:p>
    <w:p>
      <w:r>
        <w:t>Bundesverwaltungsgericht, 2022-04-12, FR</w:t>
      </w:r>
    </w:p>
    <w:p>
      <w:r>
        <w:rPr>
          <w:b/>
        </w:rPr>
        <w:t xml:space="preserve">Quelle: </w:t>
      </w:r>
      <w:r>
        <w:t>https://mcp.opencaselaw.ch/entscheid/bvger_A-5783_2020</w:t>
      </w:r>
    </w:p>
    <w:p>
      <w:r>
        <w:t>FR: TAF A-5783/2020 du 12 avril 2022</w:t>
      </w:r>
    </w:p>
    <w:p>
      <w:r>
        <w:t>IT: TAF A-5783/2020 del 12 aprile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TAF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TAF conformément à l'art. 33 let. d LTAF. La procédure est régie par la PA, pour autant que la LTAF n'en dispose pas autrement (art. 37 LTAF).</w:t>
      </w:r>
    </w:p>
    <w:p>
      <w:r>
        <w:rPr>
          <w:b/>
        </w:rPr>
        <w:t>E. 1.2</w:t>
      </w:r>
    </w:p>
    <w:p>
      <w:r>
        <w:t>Pour le surplus, déposé en temps utile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sous réserve du considérant 2.4 et il peut être entré en matière sur ses mérites.</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2.1</w:t>
      </w:r>
    </w:p>
    <w:p>
      <w:r>
        <w:t>La recourante peut invoquer la violation du droit fédéral, y compris l'excès ou l'abus du pouvoir d'appréciation, la constatation inexacte ou incomplète des faits pertinents ou l'inopportunité (art. 49 PA ; cf. Moser/ Beusch/Kneubühler, Prozessieren vor dem Bundesverwaltungsgericht, 2e éd., 2013, N 2.149 ; Häfelin/Müller/Uhlmann, Allgemeines Verwaltungsrecht, 8e éd., 2020, N 1146 ss).</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w:t>
      </w:r>
    </w:p>
    <w:p>
      <w:r>
        <w:rPr>
          <w:b/>
        </w:rPr>
        <w:t>E. 2.3</w:t>
      </w:r>
    </w:p>
    <w:p>
      <w:r>
        <w:t>La procédure est régie par la maxime inquisitoire, ce qui signifie que le Tribunal administratif fédéral définit les faits et apprécie les preuves d'office et librement (cf. art. 12 PA, applicable en matière de TVA en vertu de l'art. 81 al. 1 LTVA).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 et réf. cit. ; parmi d'autres : arrêt du TAF A-5784 du 31 janvier 2022 consid. 2.3 ; Kölz/Häner/Bertschi, Verwaltungsverfahren und Verwaltungsrechtspflege des Bundes, 3e éd., 2013, N 1135).</w:t>
      </w:r>
    </w:p>
    <w:p>
      <w:r>
        <w:rPr>
          <w:b/>
        </w:rPr>
        <w:t>E. 2.4.1.1</w:t>
      </w:r>
    </w:p>
    <w:p>
      <w:r>
        <w:t>Les conclusions doivent être formulées de manière à ce que l'autorité de recours comprenne avec précision ce que demande le recourant. Idéalement, les conclusions devraient, en cas d'admission du recours, pouvoir être reprises telles quelles dans le dispositif de l'arrêt. La pratique est toutefois assez peu formaliste et admet que les conclusions peuvent être implicites et donc résulter de la motivation (ATF 123 V 335 consid. 1a ; arrêt du Tribunal fédéral [TF] 6S.554/2006 du 15 mars 2007 consid. 4 ; arrêts du TAF A-1381/2015 du 13 juillet 2016 consid. 1.3.1.1, A-1711/2014 du 8 décembre 2015 consid. 1.4.1.1 et A-6864/2010 du 20 décembre 2011 consid. 2.1). Toutefois, une simple référence à des documents juridiques antérieurs ou à la décision attaquée ne suffit pas (ATF 123 V 335 consid. 1a).</w:t>
      </w:r>
    </w:p>
    <w:p>
      <w:r>
        <w:rPr>
          <w:b/>
        </w:rPr>
        <w:t>E. 2.4.1.2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sauf exceptions non pertinentes en l'espèce, s'étendre au-delà de celui-ci (cf. pour toutes ces questions ATF 144 II 359 consid. 4.3 et les réf. citées).</w:t>
      </w:r>
    </w:p>
    <w:p>
      <w:r>
        <w:rPr>
          <w:b/>
        </w:rPr>
        <w:t>E. 2.4.2.1</w:t>
      </w:r>
    </w:p>
    <w:p>
      <w:r>
        <w:t>En l'espèce, dans son écriture de recours, la recourante renvoie pour l'essentiel à sa réclamation du 27 mai 2020 et définit l'objet de son recours comme la « non-entrée en matière quant à la déduction de l'impôt préalable portant sur le 4ème trimestre 2015 pour un montant de CHF 17'180.- », concluant à l'annulation de la créance fiscale et de la correction de l'impôt en faveur de l'autorité inférieure découlant de la décision litigieuse. Une telle conclusion est irrecevable dans la mesure où ni le Tribunal ni l'autorité inférieure ne comprend à quoi il est fait référence, la reprise d'impôt issue du contrôle ne portant pas sur le refus de la déduction précitée. A cela s'ajoute que ce grief - au demeurant sans fondement - n'a pas été soulevé devant l'autorité inférieure. Ne faisant pas l'objet de la contestation, il ne peut être objet du litige.</w:t>
      </w:r>
    </w:p>
    <w:p>
      <w:r>
        <w:rPr>
          <w:b/>
        </w:rPr>
        <w:t>E. 2.4.2.2</w:t>
      </w:r>
    </w:p>
    <w:p>
      <w:r>
        <w:t>Cela étant, dans sa réplique, la recourante précise ses conclusions et circonscrit l'objet du litige à la seule correction d'impôt pour l'année 2011 d'un montant de 22'222 francs correspondant à l'imposition de la prise de participation de la Banque B._______ de 300'000 francs, versés le 2 mai 2011 directement chez le notaire. Cela étant, on peut se demander si son écriture de recours répond aux exigences de la jurisprudence (cf. supra consid. 2.4.1.1) si l'on considère que l'essentiel de sa motivation consiste à renvoyer à son écriture de réclamation du 27 mai 2020. Cette question peut souffrir de rester ouverte pour les motifs qui suivent.</w:t>
      </w:r>
    </w:p>
    <w:p>
      <w:r>
        <w:rPr>
          <w:b/>
        </w:rPr>
        <w:t>E. 3</w:t>
      </w:r>
    </w:p>
    <w:p>
      <w:r>
        <w:t>La décision attaquée porte sur la créance fiscale pour les périodes allant du 1er trimestre 2011 au 4ème trimestre 2015 mais le litige ne porte que sur l'année fiscale 2011, plus précisément sur la correction de l'impôt dû sur le chiffre d'affaires et les acquisitions. Se pose donc la question de la prescription, qui doit, selon la jurisprudence, être examinée d'office lorsqu'elle joue en faveur du contribuable (cf. ATF 138 II 169 consid. 3.2 ; 133 II 366 consid. 3.3 ; 73 I 125 consid. 1 ; cf. en matière de TVA : arrêt du TF 2C_29/2020 du 3 avril 2020 consid. 3.2.4).</w:t>
      </w:r>
    </w:p>
    <w:p>
      <w:r>
        <w:rPr>
          <w:b/>
        </w:rPr>
        <w:t>E. 3.1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Enfin, le droit de taxation se prescrit dans tous les cas par dix ans à compter de la fin de la période fiscale pendant laquelle la créance est née (art. 42 al. 6 LTVA).</w:t>
      </w:r>
    </w:p>
    <w:p>
      <w:r>
        <w:rPr>
          <w:b/>
        </w:rPr>
        <w:t>E. 3.2</w:t>
      </w:r>
    </w:p>
    <w:p>
      <w:r>
        <w:t>En l'espèce, la prescription relative pour l'année 2011 a été interrompue à deux reprises, par plis de l'autorité inférieure des 12 décembre 2016 et 29 novembre 2018, puis par l'annonce du contrôle le 16 septembre 2019 et par la décision sur réclamation du 19 octobre 2020 (cf. supra, Faits, let. B.a et B.f). S'agissant de la prescription absolue, le délai de 10 ans a été atteint au 31 décembre 2021, pour la période fiscale 2011, la seule contestée. A cet égard, il faut distinguer entre la créance décomptée par la recourante (- 6'899 francs) et la correction de cette créance constatée par la décision litigieuse (22'222 francs) qui donnent la créance fiscale due pour 2011 (15'323 francs). En effet, conformément à l'art. 43 al. 1 let. c LTVA, la créance fiscale entre en force notamment par la prescription du droit de taxation. Ainsi, la créance d'impôt complémentaire (« correction due au contrôle ») fixée initialement dans la notification d'estimation et corrigée par décision du 12 mai 2020 avant d'être finalement confirmée dans la décision dont est recours, ne s'est pas substituée à la créance d'impôt fixée dans le décompte remis par la recourante pour la période fiscale 2011, puisqu'il s'agit bien d'une créance complémentaire. Ainsi, la créance déclarée par la recourante dans son décompte est entrée en force au plus tard par l'effet de la prescription au 31 décembre 2021. La prescription n'atteint donc que la créance d'impôt complémentaire de 22'222 francs (voir dans ce sens, arrêt du TAF A-4848/2021 du 1er avril 2021 consid. 5.2.2).</w:t>
      </w:r>
    </w:p>
    <w:p>
      <w:r>
        <w:rPr>
          <w:b/>
        </w:rPr>
        <w:t>E. 4</w:t>
      </w:r>
    </w:p>
    <w:p>
      <w:r>
        <w:t>Au vu de ce qui précède, le Tribunal admet le recours dans la mesure de sa recevabilité et modifie la décision litigieuse dans le sens que la créance fiscale pour l'année 2011 est fixée à - 6'899 francs en faveur de la recourante. Les autres périodes fiscales (années 2012 à 2015), également fixées dans la décision sur réclamation du 19 octobre 2020, doivent quant à elles être confirmées dans la mesure où la recourante ne les remet en aucune manière en question.</w:t>
      </w:r>
    </w:p>
    <w:p>
      <w:r>
        <w:rPr>
          <w:b/>
        </w:rPr>
        <w:t>E. 5</w:t>
      </w:r>
    </w:p>
    <w:p>
      <w:r>
        <w:t>Il reste à examiner la question des frais et dépens.</w:t>
      </w:r>
    </w:p>
    <w:p>
      <w:r>
        <w:rPr>
          <w:b/>
        </w:rPr>
        <w:t>E. 5.1</w:t>
      </w:r>
    </w:p>
    <w:p>
      <w:r>
        <w:t>Aux termes de l'art. 63 al. 1 PA, en général, les frais de procédure sont mis à la charge de la partie qui succombe. En principe, les autorités inférieures ne supportent aucun frais de procédure (cf. art. 63 al. 2 PA). La recourante l'emporte dans la mesure où la créance complémentaire est prescrite et ne peut plus être perçue. En conséquence, l'avance de frais de 2'700 francs déjà versée lui sera restituée une fois le présent arrêt entré en force.</w:t>
      </w:r>
    </w:p>
    <w:p>
      <w:r>
        <w:rPr>
          <w:b/>
        </w:rPr>
        <w:t>E. 5.2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et elle n'a pas démontré ni prétendu avoir subi de ce fait des frais considérables. Partant, il ne lui est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