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A-5737/2019 vom 26. August 2020</w:t>
      </w:r>
    </w:p>
    <w:p>
      <w:r>
        <w:t>Bundesverwaltungsgericht, 2020-08-26, DE</w:t>
      </w:r>
    </w:p>
    <w:p>
      <w:r>
        <w:rPr>
          <w:b/>
        </w:rPr>
        <w:t xml:space="preserve">Quelle: </w:t>
      </w:r>
      <w:r>
        <w:t>https://mcp.opencaselaw.ch/entscheid/bvger_A-5737_2019</w:t>
      </w:r>
    </w:p>
    <w:p>
      <w:r>
        <w:t>FR: TAF A-5737/2019 du 26 août 2020</w:t>
      </w:r>
    </w:p>
    <w:p>
      <w:r>
        <w:t>IT: TAF A-5737/2019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durch den gleichen Rechtsanwalt namens des Beschwerdeführers 1 eingereichte Beschwerde im Verfahren A-5737/2019 betrifft dieselben beiden Amtshilfeersuchen wie im Verfahren A-5746/2019, in welchem der Beschwerdeführer 2 - wie erwähnt vertreten von demselben Rechtsanwalt - Beschwerde erhoben hat. Die beiden Verfahren betreffen zusammenhängende Rechtsfragen. Allfällige gegenseitige Geheimhaltungsinteressen würden durch die Eröffnung des Entscheids an die gemeinsamen Rechtsvertreter mit entsprechenden Berufspflichten gewahrt. Vor diesem Hintergrund rechtfertigt es sich, die Verfahren zu vereinigen und über die Beschwerden in einem Urteil zu befinden (vgl. statt vieler auch Urteil des BVGer A-6854/2018 vom 3. März 2020 E. 1.1 mit Hinweis). Die übrigen von der Vorinstanz erwähnten Verfahren (vgl. vorne Sachverhalt Bst. C) betreffen zwar zusammenhängende Rechtsfragen, basieren jedoch auf anderen Amtshilfeersuchen, die bereits im vorinstanzlichen Verfahren nicht zur selben Untergruppe zusammengefasst wurden. Eine umfassende Vereinigung ist daher aus prozessökonomischer Sicht nicht angezeigt.</w:t>
      </w:r>
    </w:p>
    <w:p>
      <w:r>
        <w:rPr>
          <w:b/>
        </w:rPr>
        <w:t>E. 1.2</w:t>
      </w:r>
    </w:p>
    <w:p>
      <w:r>
        <w:t>Dem vorliegenden Verfahren liegen zwei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Die Beschwerdeführer sind als Adressaten der angefochtenen Schlussverfügung und als vom Amtshilfeersuchen betroffene (Art. 3 Bst. a StAhiG) bzw. beschwerdeberechtigte Personen an der Aufhebung der angefochtenen Verfügung interessiert und erfüllen damit die Voraussetzungen zur Beschwerdeerhebung (vgl. Art. 19 Abs. 2 StAhiG i.V.m. Art. 48 VwVG).</w:t>
      </w:r>
    </w:p>
    <w:p>
      <w:r>
        <w:rPr>
          <w:b/>
        </w:rPr>
        <w:t>E. 1.4</w:t>
      </w:r>
    </w:p>
    <w:p>
      <w:r>
        <w:t>Die Beschwerden wurden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 Schlussverfügung als bundesrechtskonform erweist. Die Beschwerdeführer machen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Die Beschwerdeführer machen geltend, das Amtshilfeersuchen stelle eine unzulässige Beweisausforschung dar, weil die AT die Existenz von Konten der betroffenen Person bei den beiden Informationsinhaberinnen lediglich deshalb vermute, weil andere Familienmitglieder, die mit der betroffenen Person durch einen Trust verbunden sind, Konten bei diesen Finanzinstituten hielten. Es handle sich um ein spekulatives Ersuchen; die Möglichkeit der Existenz eines Trusts, der offenbar von den Eltern der betroffenen Person errichtet worden sei und die Möglichkeit, dass gewisse Familienmitglieder bei bestimmten Banken Konti inne hätten genüge nicht, um die ersuchten Informationen zu konkretisieren. Aufgrund dieser Vermutungen schliesse die AT einfach darauf, dass auch die betroffene Person Konti bei den fraglichen Banken hätte.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beim Beschwerdeführer 1 als betroffener Person für die Jahre 2013 und 2014 durchführt. Dabei sei dieser seiner Offenlegungspflicht betreffend Vermögen und Einnahmen im Ausland nicht nachgekommen, weshalb sie die Existenz von Konten bei denjenigen Banken überprüfen wolle, zu denen einige andere Familienmitglieder Beziehungen hätten. Die AT erklärt, dieses Vorgehen sei aufgrund der engen finanziellen Verbindung in der Familie, u.a. zu einem Trust, gerechtfertigt. Das Ersuchen diene der Ermittlung der weltweiten Besteuerungsgrundlagen des Beschwerdeführers 1.</w:t>
      </w:r>
    </w:p>
    <w:p>
      <w:r>
        <w:rPr>
          <w:b/>
        </w:rPr>
        <w:t>E. 4.3.2</w:t>
      </w:r>
    </w:p>
    <w:p>
      <w:r>
        <w:t>Aufgrund der Tatsache, dass die betroffene Person keine Vermögenswerte im Ausland deklariert hat, liegt die Vermutung nahe, dass sie ihre Einkommens- und Vermögenssituation im fraglichen Zeitraum nicht vollständig offengelegt bzw. nicht korrekt deklariert hat. Die Vermutung, dass sie wie einige ihrer Familienmitglieder, mit denen sie finanziell eng verbunden ist, geschäftliche Beziehungen zu den fraglichen Banken unterhält, erscheint nachvollziehbar. Den Ersuchen liegen somit konkrete Verdachtsmomente zugrunde, welche die Existenz von Konti der betroffenen Person bei den fraglichen Banken nahelegen. Die AT legt sodann nachvollziehbar dar, dass es für die steuerliche Würdigung der finanziellen Situation der betroffenen Person, welche nach den Angaben im Ersuchen im innerstaatlichen Verfahren ihren Mitwirkungspflichten nicht nachgekommen ist (vgl. vorne Sachverhalt Bst. A.a), bzw. zur Ermittlung ihrer weltweiten Einkommens- und Vermögenssituation und zur Feststellung der Wahrung der entsprechenden Meldepflichten nach spanischem Recht relevant ist, zu erfahren, ob sie wie die übrigen Familienmitglieder Konti bei den fraglichen Banken innehat bzw. wirtschaftlich daran berechtigt ist. Die angeforderten Bankunterlagen können Aufschluss über die Aktiven und Einkünfte des Beschwerdeführers 1 geben. Die ersuchten Informationen sind demnach voraussichtlich erheblich, um ihn korrekt besteuern zu können bzw. nachvollziehen zu können, ob er in Verletzung seiner steuerlichen Meldepflichten dem spanischen Fiskus gewisse Geldwerte verschwiegen hat. Das von den Beschwerdeführern erwähnte Beispiel aus dem Kommentar zum Musterabkommen der OECD (Ziff. 8 Bst. e zu Art. 26) ist mit vorliegender Situation, in welcher es im Rahmen einer Steueruntersuchung zum Beschwerdeführer 1 lediglich um Konti geht, deren Inhaber bzw. wirtschaftlich Berechtigter er ist, nicht jedoch um Konti von mit ihm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der Beschwerdeführer voraussichtlich erheblich für die korrekte Bemessung der Einkommenssteuer der betroffenen Person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Beschwerden sind in diesem Punkt abzuweisen.</w:t>
      </w:r>
    </w:p>
    <w:p>
      <w:r>
        <w:rPr>
          <w:b/>
        </w:rPr>
        <w:t>E. 5.1</w:t>
      </w:r>
    </w:p>
    <w:p>
      <w:r>
        <w:t>Die Beschwerdeführer beanstanden zudem, es seien nicht sämtliche innerstaatlichen Ermittlungsmöglichkeiten ausgeschöpft worden. Damit rügen sie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Die Beschwerdeführer können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vermögen die Beschwerdeführer daraus, dass die AT in den Ersuchen nicht erwähnt hat, dass die Europäische Kommission mit Bezug auf die Melde- und Bussenvorschriften im «Modelo 720» ein Vertragsverletzungsverfahren gegen Spanien in Gang gesetzt hat, diesbezüglich etwas zu ihren Gunsten ableiten (vgl. dazu im Detail hinten E. 7). DieVorinstanz hat sich demnach zu Recht auf die vorgenannte Zusicherung gestützt. Die entsprechende Rüge der Beschwerdeführer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machen die Beschwerdeführer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den Beschwerdeführern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Beschwerden sind auch in diesem Punkt und somit gesamthaft abzuweisen und die vorinstanzliche Verfügung damit zu bestätigen.</w:t>
      </w:r>
    </w:p>
    <w:p>
      <w:r>
        <w:rPr>
          <w:b/>
        </w:rPr>
        <w:t>E. 7.1</w:t>
      </w:r>
    </w:p>
    <w:p>
      <w:r>
        <w:t>Die Beschwerdeführer beantragen eventualiter - für den Fall, dass die angefochtene Verfügung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2. Aufl. 2013,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von den Beschwerdeführern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der Beschwerdeführer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der Beschwerdeführer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4'000.- festzusetzen und ausgangsgemäss den Beschwerdeführern in solidarischer Haftung aufzuerlegen (Art. 63 Abs. 1 VwVG und Art. 1, 2, 4 und 6a des Reglements vom 21. Februar 2008 über die Kosten und Entschädigungen vor dem Bundesverwaltungsgericht [VGKE, SR 173.320.2]). Die einbezahlten Kostenvorschüsse in den Verfahren A-5737/2019 und A-5746/2019 von je Fr. 2'000. - sind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