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A-572/2008 vom 23. Juli 2008</w:t>
      </w:r>
    </w:p>
    <w:p>
      <w:r>
        <w:t>Bundesverwaltungsgericht, 2008-07-23, DE</w:t>
      </w:r>
    </w:p>
    <w:p>
      <w:r>
        <w:rPr>
          <w:b/>
        </w:rPr>
        <w:t xml:space="preserve">Quelle: </w:t>
      </w:r>
      <w:r>
        <w:t>https://mcp.opencaselaw.ch/entscheid/bvger_A-572_2008</w:t>
      </w:r>
    </w:p>
    <w:p>
      <w:r>
        <w:t>FR: TAF A-572/2008 du 23 juillet 2008</w:t>
      </w:r>
    </w:p>
    <w:p>
      <w:r>
        <w:t>IT: TAF A-572/2008 del 23 luglio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form- und fristgerecht eingereichte Beschwerde ist einzutreten.</w:t>
      </w:r>
    </w:p>
    <w:p>
      <w:r>
        <w:rPr>
          <w:b/>
        </w:rPr>
        <w:t>E. 1.2</w:t>
      </w:r>
    </w:p>
    <w:p>
      <w:r>
        <w:t>Das Bundesverwaltungsgericht kann den angefochtenen Einspracheentscheid grundsätzlich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Im vorliegenden Fall ist das Anfechtungsobjekt der Einspracheentscheid der ESTV vom 30. November 2007, in dem über die Mehrwertsteuerforderung betreffend das 1. Quartal bis 4. Quartal 2004 - einschliesslich die Schlussabrechnung per Beendigung der Mehrwertsteuerpflicht am 31. Dezember 2004 - entschieden und diese auf Fr. ... zuzüglich Verzugszins zu 5% seit dem 23. Mai 2005 festgesetzt wurde. Die Beschwerdeführerin anerkennt diese Mehrwertsteuerschuld grundsätzlich, will aber die aus ihrer Sicht zu Unrecht versteuerten Umsätze auf Waren, die vor Beginn der Mehrwertsteuerpflicht am 1. Mai 2001 eingekauft und nie einlageentsteuert wurden, im Betrag von Fr. ... und die Mehrwertsteuer von Fr. ... auf der Abschreibung von Ausstellungsmöbeln abziehen, womit sie ein Guthaben von Fr. ... geltend macht.</w:t>
      </w:r>
    </w:p>
    <w:p>
      <w:r>
        <w:rPr>
          <w:b/>
        </w:rPr>
        <w:t>E. 2.1</w:t>
      </w:r>
    </w:p>
    <w:p>
      <w:r>
        <w:t>Der Mehrwertsteuer unterliegen unter anderem die durch eine steuerpflichtige Person im Inland gegen Entgelt erbrachten Lieferungen von Gegenständen und Dienstleistungen (Art. 5 Bst. a und b MWSTG) und der Eigenverbrauch im Inland (Art. 5 Bst. c MWSTG). Die Mehrwertsteuer wird vom Entgelt berechnet. Dazu gehört alles, was der Leistungsempfänger oder ein Dritter für ihn als Gegenleistung für die Leistung aufwendet.</w:t>
      </w:r>
    </w:p>
    <w:p>
      <w:r>
        <w:rPr>
          <w:b/>
        </w:rPr>
        <w:t>E. 2.1.1</w:t>
      </w:r>
    </w:p>
    <w:p>
      <w:r>
        <w:t>Die Veranlagung und Entrichtung der Mehrwertsteuer erfolgt nach dem Selbstveranlagungsprinzip (Art. 46 f. MWSTG; vgl. Ernst Blumenstein/Peter Locher, System des schweizerischen Steuerrechts, 6. Aufl., Zürich 2002, S. 421 ff.). Der Mehrwertsteuerpflichtige hat selbst und unaufgefordert über seine Umsätze und Vorsteuern abzurechnen und innerhalb von 60 Tagen nach Ablauf der Abrechnungsperiode den geschuldeten Mehrwertsteuerbetrag (Steuer vom Umsatz abzüglich Vorsteuern) an die ESTV abzuliefern. Das Selbstveranlagungsprinzip bedeutet auch, dass der Leistungserbringer selbst für die Feststellung der Mehrwertsteuerpflicht verantwortlich ist (vgl. Urteile des Bundesgerichts 2A.109/2005 vom 10. März 2006 E. 2.1, 2A.304/2003 vom 14. November 2003 E. 3.5; Entscheid der SRK vom 16. Juni 2004, veröffentlicht in Verwaltungspraxis der Bundesbehörden [VPB] 68.157 E. 2b/aa mit Hinweisen; Urteil des Bundesverwaltungsgerichts A-1429/2006 vom 29. August 2007 E. 2.1 mit Hinweisen). Die Verwaltung ermittelt die Höhe des geschuldeten Mehrwertsteuerbetrags nur dann an Stelle des Steuerpflichtigen, wenn dieser seinen Pflichten nicht nachkommt (Art. 60 MWSTG; vgl. Alois Camenzind/Niklaus Honauer/Klaus A. Vallender, Handbuch zum Mehrwertsteuergesetz [MWSTG], Bern 2003, 2. Aufl., S. 569 ff.). Ein Verstoss des Mehrwertsteuerpflichtigen gegen diesen Grundsatz ist als schwerwiegend anzusehen, da er durch die Nichtbeachtung die ordnungsgemässe Erhebung der Mehrwertsteuer gefährdet (vgl. Entscheid der SRK vom 19. Mai 2004, veröffentlicht in VPB 68.131 E. 2b; Urteile des Bundesverwaltungsgerichts A-1546/2006 vom 30. April 2008 E. 2.5.1, A-1531/2006 vom 10. Januar 2008 E. 2.2, A-1397/2006 vom 19. Juli 2007 E. 2.2, je mit weiteren Hinweisen).</w:t>
      </w:r>
    </w:p>
    <w:p>
      <w:r>
        <w:rPr>
          <w:b/>
        </w:rPr>
        <w:t>E. 2.1.2</w:t>
      </w:r>
    </w:p>
    <w:p>
      <w:r>
        <w:t>Die Eigenverbrauchsteuer ist bei Wegfall der Mehrwertsteuerpflicht geschuldet, wenn die mehrwertsteuerpflichtige Person aus ihrem Unternehmen Gegenstände dauernd oder vorübergehend entnimmt, die oder deren Bestandteile sie zum vollen oder teilweisen Vorsteuerabzug berechtigt haben, und die sich zu diesem Zeitpunkt noch in ihrer Verfügungsmacht befinden (Art. 9 Abs. 1 Bst. d MWSTG). Das Ziel des Eigenverbrauchstatbestandes ist, unbesteuerten Endverbrauch zu verhindern, und zwar dort, wo der Mehrwertsteuerpflichtige steuerentlastete Leistungsbezüge und eigene Leistungen bestimmungswidrig nicht der entgeltlichen Fremdversorgung, sondern der unentgeltlichen Selbstversorgung zuführt. Die Eigenverbrauchsteuer soll die durch den Vorsteuerabzug beim Mehrwertsteuerpflichtigen eintretende Steuerentlastung rückgängig machen (Daniel Riedo, mwst.com, Kommentar zum Bundesgesetz über die Mehrwertsteuer, Basel/Genf/München 2000, ad Art.9 Rz. 5 und 8). Die Eigenverbrauchsteuer infolge Wegfalls der Mehrwertsteuerpflicht stellt einen Spezialtatbestand der Entnahme für unternehmensfremde Zwecke dar. Es genügt nach Art. 9 Abs.1 Bst. d MWSTG, dass sich die Gegenstände bei Wegfall der Mehrwertsteuerpflicht noch in der Verfügungsmacht des Unternehmers befinden (vgl. Ivo Gut, mwst.com, a.a.O., ad Art. 9 Abs. 1 Rz. 16), ohne dass sie auch tatsächlich für unternehmensfremde Zwecke verwendet werden. Ebenso wenig setzt das Gesetz für eine Besteuerung voraus, dass der Mehrwertsteuerpflichtige seinerzeit die auf dem Bezug der Gegenstände lastende Mehrwertsteuer tatsächlich als Vorsteuer geltend machte. Ausreichend ist, dass er hierzu berechtigt war (vgl. Bericht vom 28. August 1996 der Kommission für Wirtschaft und Abgaben des Nationalrats [WAK-N] zur parlamentarischen Initiative [Parlamentarische Initiative Dettling, 93.461] über den Erlass eines Bundesgesetzes über die Mehrwertsteuer, ad Art. 9 Abs. 1). Als Gegenstände kommen bei diesem Eigenverbrauchstatbestand typischerweise jene in Frage, die im Warenlager verbleiben, oder die noch vorhandenen Anlagegüter bzw. Betriebsmittel inklusive der Betriebsliegenschaft (Urteil des Bundesverwaltungsgerichts A-1556/2006 vom 8. Oktober 2007 E. 2.2; Entscheid der Eidgenössischen Steuerrekurskommission [SRK] vom 25. Oktober 2004, veröffentlicht in VPB 69.37 E. 4c/aa; Camenzind/Honauer/Vallender, a.a.O., Rz. 394).</w:t>
      </w:r>
    </w:p>
    <w:p>
      <w:r>
        <w:rPr>
          <w:b/>
        </w:rPr>
        <w:t>E. 2.1.3</w:t>
      </w:r>
    </w:p>
    <w:p>
      <w:r>
        <w:t>Bemessungsgrundlage beim Eigenverbrauch infolge Wegfalls der Mehrwertsteuerpflicht bilden bei neuen beweglichen Gegenständen der Einkaufspreis, bei in Gebrauch genommenen beweglichen Gegenständen der Zeitwert im Zeitpunkt der Entnahme. Zur Ermittlung des Zeitwertes wird für jedes abgelaufene Jahr linear ein Fünftel abgeschrieben (Art. 34 Abs. 1 MWSTG). Pro-rata-Abschreibungen für nicht (ganz) abgelaufene Jahre sieht das Gesetz nicht vor (Camenzind/Honauer/Vallender, a.a.O., Rz. 1250; siehe Spezialbroschüre Eigenverbrauch vom Juli 2000 [SR 610.530-04], Ziff. 6.1.2 und 6.2.2). Demgegenüber lässt die Verwaltungspraxis für das erste Kalenderjahr die volle Abschreibung zu, ungeachtet dessen, dass die Ingebrauchnahme der Gegenstände erst im Laufe oder im Extremfall gegen Ende dieses Kalenderjahres erfolgt (vgl. Spezialbroschüre, a.a.O., Ziff. 6.1.2 und 6.2.2). Unter dem Begriff Zeitwert versteht der Gesetzgeber den Einstandspreis nach Berücksichtigung der steuerrechtlich gebotenen Abschreibung (Bericht WAK-N, a.a.O., ad Art. 31 Abs. 3; Dieter Metzger, Kurzkommentar zum Mehrwertsteuergesetz, Bern 2000, ad Art. 34 Rz. 2). Wohl nicht zutreffend ist deshalb die im Schrifttum vertretene Auffassung, unter Zeitwert sei der Preis zu verstehen, der im Zeitpunkt des Eigenverbrauchs aufgewendet werden müsste, um einen gleichartigen gebrauchten Gegenstand zu erwerben, entsprechend den Wiederbeschaffungskosten (Camenzind/Honauer/ Vallender, a.a.O., Rz. 1247). Ein so verstandener Zeitwert entspräche dem Marktwert (hiezu: Entscheid der SRK vom 10. Januar 2006, veröffentlicht in VPB 70.56 E. 2d; Urteil des Bundesverwaltungsgerichts A-1362/2006 vom 30. Mai 2007 E. 3.2), nach welchem die Eigenverbrauchsteuer bei Wegfall der Mehrwertsteuerpflicht nach der alten Mehrwertsteuerverordnung zu bemessen war (Art. 26 Abs. 3 Bst. a Ziff. 2 der Verordnung vom 22. Juni 1994 über die Mehrwertsteuer [MWSTV, AS 1994 1464]). Mit dem Zeitwert hat der Gesetzgeber für den Anwendungsbereich des Mehrwertsteuergesetzes jedoch bewusst einen anderen Ansatz der Steuerbemessung statuiert (Urteil des Bundesverwaltungsgerichts A-1556/2006 vom 8. Oktober 2007 E. 2.3; vgl. Metzger, a.a.O., Rz. 2).</w:t>
      </w:r>
    </w:p>
    <w:p>
      <w:r>
        <w:rPr>
          <w:b/>
        </w:rPr>
        <w:t>E. 2.2.1</w:t>
      </w:r>
    </w:p>
    <w:p>
      <w:r>
        <w:t>Verwendet die mehrwertsteuerpflichtige Person Gegenstände oder Dienstleistungen für steuerbare Ausgangsleistungen, so kann sie in ihrer Mehrwertsteuerabrechnung die ihr von anderen Mehrwertsteuerpflichtigen in Rechnung gestellte Steuer für Lieferungen und Dienstleistungen abziehen. Die Rechnungen bzw. Belege müssen mit den Angaben nach Art. 37 MWSTG versehen sein (Art. 38 Abs. 1 und 2 MWSTG). Erfüllen die Vorsteuerbelege die formellen Anforderungen nicht, muss der Vorsteuerabzug verweigert werden (Entscheide der SRK vom 25. März 2002, veröffentlicht in VPB 66.97 E. 4b, vom 15. Oktober 1999, veröffentlicht in VPB 64.47 E. 4; Urteile des Bundesverwaltungsgerichts A-1438/2006 vom 11. Juni 2007 E. 3.1, 3.2, A-1476/2006 vom 26. April 2007 E. 4.2.1).</w:t>
      </w:r>
    </w:p>
    <w:p>
      <w:r>
        <w:rPr>
          <w:b/>
        </w:rPr>
        <w:t>E. 2.2.2</w:t>
      </w:r>
    </w:p>
    <w:p>
      <w:r>
        <w:t>Sowohl nach Rechtsprechung als auch nach Lehre zum Mehrwertsteuerrecht wird der Rechnung, die durch den Leistungserbringer zuhanden des Leistungsempfängers ausgestellt wird, eine zentrale Bedeutung beigemessen. Die Rechnung ist nicht ein reiner Buchungsbeleg, sondern sie stellt ein wichtiges Indiz dafür dar, dass der Aussteller auch Leistungserbringer ist und die mehrwertsteuerlich relevante Handlung überhaupt stattgefunden hat, sowie dafür, wer Verfügungsmacht im Sinne von Art. 6 MWSTG über einen Gegenstand hat. Gleichzeitig erklärt der Rechnungssteller dem Empfänger, dass er die ausgewiesene Mehrwertsteuer der ESTV abgeliefert hat oder noch abliefern wird. So bildet die Rechnung dem Empfänger Ausweis dafür, auf der Leistung laste die angegebene Mehrwertsteuer, und berechtigt sie den Leistungsempfänger direkt zum entsprechenden Vorsteuerabzug (BGE 131 190 E. 5; Urteile des Bundesgerichts vom 14. Juli 2005, veröffentlicht in Archiv für Schweizerisches Abgaberecht [ASA] 75 497 ff. E. 3.3, 4.2, vom 31. Mai 2002, veröffentlicht in ASA 72 732 E. 5a; Entscheide der SRK vom 3. Juni 2005, veröffentlicht in VPB 69.127 E. 3a/aa, vom 29. Juli 2004, veröffentlicht in VPB 69.11 E. 3a, je mit Hinweisen; Camenzind/Honauer/Vallender, a.a.O.,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74 396; vgl. BGE 131 II 188 f. E. 3.4). Aufgrund der im Mehrwertsteuerrecht der Rechnung zukommenden Bedeutung hat sich in konstanter Rechtsprechung der Grundsatz entwickelt "fakturierte Mehrwertsteuer gleich geschuldete Mehrwertsteuer" (BGE 131 II 190 E. 5; Entscheid der SRK vom 11. September 2006, veröffentlicht in VPB 70.102 E. 2a, 4a/aa, vgl. auch Urteil des Bundesgerichts, a.a.O., veröffentlicht in ASA 75 499 f. E. 4.2 f.), welcher selbst dann Geltung beansprucht, wenn die Mehrwertsteuer fälschlicherweise fakturiert wurde und es sich bei den Leistungserbringern oder den Leistungsempfängern nicht um Mehrwertsteuerpflichtige handelt (Urteil des Bundesverwaltungsgerichts A-1437/2006 vom 11. Juni 2007 E. 3.2; BGE 131 II 190 E. 5, 196 f. E. 8.1 f.).</w:t>
      </w:r>
    </w:p>
    <w:p>
      <w:r>
        <w:rPr>
          <w:b/>
        </w:rPr>
        <w:t>E. 2.3</w:t>
      </w:r>
    </w:p>
    <w:p>
      <w:r>
        <w:t>Nach neuem Verordnungsrecht (in Kraft seit 1. Juli 2006) hat die ESTV auch Rechnungen und Rechnungen ersetzende Dokumente anzuerkennen, welche die Anforderungen an die Angaben zu Namen und Adresse der mehrwertsteuerpflichtigen Person und zum Empfänger der Lieferung oder der Dienstleistung nach Art. 37 Abs. 1 Bst. a und b MWSTG nicht vollumfänglich erfüllen, sofern die tatsächlich vorhandenen Angaben die betreffenden Personen eindeutig identifizieren (Art. 15a MWSTGV). Allein aufgrund von Formmängeln wird überdies keine Steuernachforderung erhoben, wenn erkennbar ist oder die mehrwertsteuerpflichtige Person nachweist, dass durch die Nichteinhaltung einer Formvorschrift des Gesetzes oder dieser Verordnung für die Erstellung von Belegen für den Bund kein Steuerausfall entstanden ist (Art. 45a MWSTGV; zur Rechtmässigkeit dieser neuen Bestimmungen und deren rückwirkenden Anwendung ausführlich: Urteile des Bundesverwaltungsgerichts A-1437/2006 und A-1438/2006 vom 11. Juni 2007 E. 3.3, A-1476/2006 vom 26. April 2007 E. 4.2.3, A-1352/2006 vom 25. April 2007 E. 6, A-1455/2006 vom 25. April 2007 E. 5.4). Allerdings bleibt das Vorhandensein einer Rechnung (oder eines entsprechenden Belegs) eine unabdingbare, materiellrechtliche Voraussetzung für den Vorsteuerabzug. Fehlt die Rechnung, kann dieser Mangel nicht durch Art. 15a oder 45a MWSTGV geheilt werden (Urteile des Bundesverwaltungsgerichts A-1389/2006 vom 21. Januar 2008 E. 4.1, A-1438/2006 vom 11. Juni 2007 E. 3.2 und 3.3, A-1476/2006 vom 26. April 2007 E. 5.2.2). Ebenso bildet für den Nachweis der Ausfuhr gemäss Art. 20 MWSTG das Vorhandensein eines zollamtlichen Dokuments unabdingbare materielle Voraussetzung für den Ausfuhrnachweis (Urteil des Bundesverwaltungsgerichts A-1455/2006 vom 25. April 2007 E. 5.4). Vor diesem Hintergrund erhellt, dass die Rechnung auch nach Inkrafttreten der Art. 15a und 45a MWSTGV ihre in mehrwertsteuerlicher Praxis und Lehre entwickelte materiellrechtliche Bedeutung nicht eingebüsst hat (Urteil des Bundesverwaltungsgerichts A-1437/2006 vom 11. Juni 2007 E. 3.3). Art. 45a MWSTGV betrifft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Mehrwertsteuerpflichtigen zu beachten. Materiellrechtliche Vorschriften oder materiellrechtliche Mängel bleiben folglich von Art. 45 MWSTGV unberührt (Urteil des Bundesverwaltungsgerichts A-1352/2006 vom 25. April 2007 E. 6). Gleiches hat mutatis mutandis für Art. 15a MWSTGV zu gelten (vgl. Urteile des Bundesverwaltungsgerichts A-1455/2006 vom 25. April 2007 E. 5.4, A-1476/2006 vom 26. April 2007 E. 5.2.2).</w:t>
      </w:r>
    </w:p>
    <w:p>
      <w:r>
        <w:rPr>
          <w:b/>
        </w:rPr>
        <w:t>E. 2.4</w:t>
      </w:r>
    </w:p>
    <w:p>
      <w:r>
        <w:t>Gemäss Art. 48 Abs. 4 MWSTG bezahlt die ESTV einen Vergütungszins zum Zinssatz für den Verzugszins ab dem 61. Tag, wenn die Auszahlung eines Überschusses an abziehbaren Vorsteuern oder eines anderen Saldoguthabens zu Gunsten der mehrwertsteuerpflichtigen Person später als 60 Tage nach Eintreffen der Mehrwertsteuerabrechnung bzw. der schriftlichen Geltendmachung des Saldos bei der Verwaltung erfolgt. Gemäss Art. 1 Abs. 3 der Verordnung des Eidgenössischen Finanzdepartements vom 20. Juni 2000 über die Verzugs- und Vergütungszinssätze (AS 2000 2146) beträgt der Vergütungszinssatz ab dem 1. Januar 2001 5% pro Jahr. Sowohl Vergütungs- als auch Verzugszinsen werden allerdings nur ausgerichtet bzw. bezogen, wenn deren Betrag mindestens Fr. 20.-- erreicht (Art. 1 Abs. 4 der erwähnten Verordnung).</w:t>
      </w:r>
    </w:p>
    <w:p>
      <w:r>
        <w:rPr>
          <w:b/>
        </w:rPr>
        <w:t>E. 3.1</w:t>
      </w:r>
    </w:p>
    <w:p>
      <w:r>
        <w:t>Im vorliegenden Fall hat die Beschwerdeführerin ihre Geschäftstätigkeit per 1. Mai 2001 aufgenommen (Beginn der Mehrwertsteuerpflicht). Sie hat bereits vor diesem Zeitpunkt Waren eingekauft, die sie während ihrer Geschäftstätigkeit bis zum Ende der Mehrwertsteuerpflicht am 31. Dezember 2004 verkauft hat. Aufgrund der sogenannten "Praxisänderung" gemäss Art. 15a bzw. Art. 45a MWSTGV, die auch rückwirkend zur Anwendung gelangt, sind die von der Mehrwertsteuerpflichtigen eingereichten Belege, die von der ESTV nicht zum Vorsteuerabzug zugelassen wurden, nochmals einer Überprüfung zu unterziehen. Die Beschwerdeführerin hat mehrere Rechnungen eingereicht, die auf den Leistungsempfänger Y._______ lauten (vom 28. Mai 1997, 27. Februar 1998, 2. April 1998). Diese betreffen eine andere Person und damit nicht die Beschwerdeführerin, die Voraussetzungen für die Inanspruchnahme des Vorsteuerabzugs sind daher nicht gegeben. Dabei handelt es sich um eine materielle Frage, nämlich ob die gesetzlichen Voraussetzungen des Vorsteuerabzugs erfüllt waren oder nicht. Daher bleibt kein Raum für die Anwendung der Bestimmungen von Art. 15a bzw. Art. 45a MWSTGV. Anders verhielte es sich nur, wenn der Beschwerdeführerin die Anerkennung der geltend gemachten Vorsteuern aufgrund von Formmängeln verweigert würde, beispielsweise wenn es um die Frage ginge, ob sie die fraglichen Nachweise nicht auch durch andere Dokumente beibringen könne. Diese oder ähnliche Formfragen liegen indes nicht im Streit (vgl. Urteil des Bundesverwaltungsgerichts A-1438/2006 vom 11. Juni 2007 E. 3.3 und 4.2, mit Hinweisen). Mit der Rechnung der A._______ vom 19. März 1998 werden gegenüber der Leistungsempfängerin "Z._______, Y._______" die Kosten für den Transport und die Einfuhrverzollung von Lampen geltend gemacht. Bei der Bezeichnung "Z._______" handelt es sich offensichtlich um die ehemalige Firmenbezeichnung der Beschwerdeführerin. Man kann sich daher fragen, ob diese Rechnung zum Vorsteuerabzug zugelassen werden könnte. Gemäss Aufstellung (Inventar) der Beschwerdeführerin befanden sich diese Lampen jedoch auch bei Aufgabe der Geschäftstätigkeit noch am Lager, sodass diese Position nicht zum Vorsteuerabzug zugelassen werden könnte, ohne dass entsprechend eine Eigenverbrauchsteuer gemäss Art. 9 Abs. 1 Bst. d MWSTG aufzurechnen wäre; letzteres hat die ESTV jedoch offensichtlich nicht getan. Die Rechnung der B._______ vom 1. Mai 1998 bezüglich einer Einfuhrverzollung lautet wiederum auf den Leistungsempfänger Y._______, sodass die Voraussetzungen für den Vorsteuerabzug wiederum nicht erfüllt sind. Dazu kommt, dass sich diese Ware (Lampen) zum Zeitpunkt der Aufgabe der Geschäftstätigkeit immer noch am Lager der Beschwerdeführerin befunden hat und deshalb auf das Vorstehende zu verweisen ist. Anzuerkennen ist hingegen im Lichte von Art. 15a und 45a MWSTGV die Rechnung der C._______ vom 9. August 1999, die an den Leistungsempfänger "Z._______", die frühere Firmenbezeichnung der Beschwerdeführerin, ausgestellt ist. Aus diesem Grund ist der Vorsteuerabzug - wie von der ESTV in der Vernehmlassung vom 18. April 2008 beantragt - im Umfang von Fr. ... + Fr. ... zuzulassen.</w:t>
      </w:r>
    </w:p>
    <w:p>
      <w:r>
        <w:rPr>
          <w:b/>
        </w:rPr>
        <w:t>E. 3.2</w:t>
      </w:r>
    </w:p>
    <w:p>
      <w:r>
        <w:t>Die Beschwerdeführerin macht weiter eine Abschreibung auf den Ausstellungsmöbeln geltend; im Lagerbestand seien sämtliche Ausstellungsmöbel zum vollen Wert anstatt zum Zeitwert deklariert, obwohl sie infolge Abnützung und Lackschäden nicht mehr oder nicht mehr zum vollen Preis verkauft werden könnten. Die Beschwerdeführerin hat in der Beilage zur "Schlussabrechnung bei Beendigung der Mehrwertsteuerpflicht" einen Lagerbestand von Fr. ... zum Zeitpunkt des Eintrittes in die Steuerpflicht ausgewiesen. Gemäss Inventar per 30. April 2001 belief sich der Lagerbestand jedoch am Ende der Mehrwertsteuerpflicht auf Fr. ...; dieser Betrag stimmt mit dem Lagerbestand Handelswaren gemäss Bilanz per 31. Dezember 2004 überein. Die Mehrwertsteuerpflichtige hat in der Schlussabrechnung unter dem Posten "Eigenverbrauch" die Mehrwertsteuer auf der Differenz von Fr. ... (Fr. ... ./. Fr. ...) als Guthaben gegenüber der ESTV deklariert. Als Eigenverbrauch ist beim Ende der Mehrwertsteuerpflicht der zu diesem Zeitpunkt vorhandene Lagerbestand zu deklarieren, mit Ausnahme derjenigen Güter, welche sich bereits bei Beginn der Mehrwertsteuerpflicht im Lager befunden haben (und auf welchen in der Folge keine Einlageentsteuerung vorgenommen wurde). Gemäss Art. 34 Abs. 1 Bst. a MWSTG wird bei neuen Gegenständen der Eigenverbrauch vom Einkaufspreis dieser Gegenstände berechnet, allfällige Abschreibungen sind daher nicht relevant; Ausstellungsmöbel gelten nicht als "gebraucht" im Sinne von Art. 34 Abs. 1 Bst. b MWSTG. Als in Gebrauch genommen gilt ein Gegenstand, wenn er im Betrieb der mehrwertsteuerpflichtigen Person für irgendeinen Zweck verwendet wurde (z. B. Vermietung, Verwendung als Betriebsmittel). Eine Ingebrauchnahme durch den früheren Eigentümer ist nicht von Bedeutung (vgl. zur Bedeutung von "in Gebrauch genommen": Spezialbroschüre Nr. 5 der ESTV, Nutzungsänderungen [Einlageentsteuerung bzw. Eigenverbrauchsbesteuerung], September 2000, Ziff. 6.3, Fussnote 2 bzw. Ausgabe Dezember 2007, Ziff. 2.2.1). Falls von der Beschwerdeführerin bereits gebrauchte Gegenstände als Ausstellungsmöbel verwendet worden wären, hätte dieser Umstand keinen Einfluss auf dieses Beschwerdeverfahren, da sie ohnehin keine Einlageentsteuerung und in der Folge keine Eigenverbrauchsbesteuerung vorgenommen hat. Sie wurden in der Berechnung daher weder steuermindernd noch steuererhöhend berücksichtigt (zur Berechnung vgl. auch Einspracheentscheid der ESTV vom 30. November 2007, Ziff. 3.1). Dieser Einwand der Mehrwertsteuerpflichtigen ist daher abzuweisen.</w:t>
      </w:r>
    </w:p>
    <w:p>
      <w:r>
        <w:rPr>
          <w:b/>
        </w:rPr>
        <w:t>E. 3.3</w:t>
      </w:r>
    </w:p>
    <w:p>
      <w:r>
        <w:t>Soweit die Beschwerdeführerin die Verzinsung ihres Guthabens von Fr. ... fordert, beantragt die ESTV in ihrer Vernehmlassung vom 4. März 2008 die Gutheissung und errechnet den der Mehrwertsteuerpflichtigen geschuldeten Vergütungszins bis zum 23. Mai 2005 (mittlerer Verfall) korrekterweise auf Fr. .... In diesem Umfang ist die Beschwerde ebenfalls gutzuheissen.</w:t>
      </w:r>
    </w:p>
    <w:p>
      <w:r>
        <w:rPr>
          <w:b/>
        </w:rPr>
        <w:t>E. 3.4</w:t>
      </w:r>
    </w:p>
    <w:p>
      <w:r>
        <w:t>Insgesamt ist die Beschwerde damit entsprechend dem in der Vernehmlassung vom 4. März 2008 gestellten Antrag der ESTV im Umfang von total Fr. ... gutzuheissen, im Übrigen jedoch abzuweisen.</w:t>
      </w:r>
    </w:p>
    <w:p>
      <w:r>
        <w:rPr>
          <w:b/>
        </w:rPr>
        <w:t>E. 4</w:t>
      </w:r>
    </w:p>
    <w:p>
      <w:r>
        <w:t>Die Kosten für das Beschwerdeverfahren, welche auf Fr. ... festgesetzt werden, sind der Beschwerdeführerin im Umfang von Fr. ... aufzuerlegen (Art. 63 Abs. 1 VwVG) und mit dem geleisteten Kostenvorschuss von Fr. ... zu verrechnen. Der Restbetrag von Fr. ... wird der Beschwerdeführerin nach Eintritt der Rechtskraft des Urteils 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