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A-5712/2007 vom 17. Januar 2008</w:t>
      </w:r>
    </w:p>
    <w:p>
      <w:r>
        <w:t>Bundesverwaltungsgericht, 2008-01-17, DE</w:t>
      </w:r>
    </w:p>
    <w:p>
      <w:r>
        <w:rPr>
          <w:b/>
        </w:rPr>
        <w:t xml:space="preserve">Quelle: </w:t>
      </w:r>
      <w:r>
        <w:t>https://mcp.opencaselaw.ch/entscheid/bvger_A-5712_2007</w:t>
      </w:r>
    </w:p>
    <w:p>
      <w:r>
        <w:t>FR: TAF A-5712/2007 du 17 janvier 2008</w:t>
      </w:r>
    </w:p>
    <w:p>
      <w:r>
        <w:t>IT: TAF A-5712/2007 del 17 gennaio 2008</w:t>
      </w:r>
    </w:p>
    <w:p>
      <w:pPr>
        <w:pStyle w:val="Heading2"/>
      </w:pPr>
      <w:r>
        <w:t>Regeste</w:t>
      </w:r>
    </w:p>
    <w:p>
      <w:r>
        <w:t>Mehrwertsteuer</w:t>
      </w:r>
    </w:p>
    <w:p>
      <w:pPr>
        <w:pStyle w:val="Heading2"/>
      </w:pPr>
      <w:r>
        <w:t>Erwägungen</w:t>
      </w:r>
    </w:p>
    <w:p>
      <w:r>
        <w:rPr>
          <w:b/>
        </w:rPr>
        <w:t>E. 1.1</w:t>
      </w:r>
    </w:p>
    <w:p>
      <w:r>
        <w:t>Das Bundesverwaltungsgericht ist nach Art. 53 Abs. 2 des Bundesgesetzes vom 17. Juni 2005 über das Bundesverwaltungs-gericht (VGG, SR 173.32) zur Entscheidung in der vorliegenden Streitsache zuständig. Die Beschwerde vom 27. August 2007 gegen den Einspracheentscheid der ESTV vom 27. Juni 2007 wurde frist- und formgerecht eingereicht. Die Beschwerdeführer sind nach Art. 48 Abs. 1 Bst. b des Bundesgesetzes vom 20. Dezember 1968 über das Verwaltungsverfahren (VwVG, SR 172.021) zur Beschwerde legiti-miert. Der von den Beschwerdeführern gestützt auf Art. 63 Abs. 4 VwVG einverlangte Kostenvorschuss von Fr. 2'000.-- ist fristgerecht bezahlt worden. Auf die Beschwerde ist mithin einzutreten.</w:t>
      </w:r>
    </w:p>
    <w:p>
      <w:r>
        <w:rPr>
          <w:b/>
        </w:rPr>
        <w:t>E. 1.2</w:t>
      </w:r>
    </w:p>
    <w:p>
      <w:r>
        <w:t>Das Bundesverwaltungsgericht kann den angefochtenen Einspracheentscheid grundsätzlich in vollem Umfang überprüfen. Die Beschwerdeführer können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 Das Bundesverwaltungsgericht klärt den Sachverhalt von Amtes wegen (Moser, a.a.O., Rz. 2.72).</w:t>
      </w:r>
    </w:p>
    <w:p>
      <w:r>
        <w:rPr>
          <w:b/>
        </w:rPr>
        <w:t>E. 1.3</w:t>
      </w:r>
    </w:p>
    <w:p>
      <w:r>
        <w:t>Nach Art. 2 Abs. 1 VwVG findet u.a. Art. 12 VwVG im Steuerverfahren keine Anwendung; der Beweis durch Gutachten ist deshalb nach Art. 12 Bst. e VwVG grundsätzlich ausgeschlossen, soweit nicht die allgemeinen Verfahrensgarantien betreffend das rechtliche Gehör nach Art. 29 Abs. 2 der Bundesverfassung der Schweizerischen Eidgenossenschaft vom 18. April 1999 (BV, SR 101) zur Anwendung gelangen (Urteil des Bundesverwaltungsgerichts A-1386/2006 vom 3. April 2007 E.1.3.2). Falls eine antizipierte Beweiswürdigung ergibt, dass die angebotenen Beweise unerheblich sind oder sich der Sachverhalt auch sonst genügend ermitteln lässt, darf das Bundesverwaltungsgericht auf angebotene Beweismittel - so auch Gutachten - verzichten (Urteil des Bundesgerichts 2A.110/2000 vom 26. Januar 2001 E. 3b und c; Moser, a.a.O., Rz. 3.68 ff.). So liegt es im pflichtgemässen Ermessen der Beschwerdeinstanz darüber zu befinden, mit welchen Mitteln der Sachverhalt abzuklären ist und insbesondere, ob im Einzelfall ein Gutachten oder eine Zeugeneinvernahme neue Tatsachen beweisen könnte. Dies gilt speziell dann, wenn die Fakten bereits aus den Akten genügend ersichtlich sind und eine Zeugenbefragung keine von den Akten abweichenden Entscheidungsgrundlagen ergeben würden (zum Ganzen: Entscheide der Eidgenössischen Steuerrekurskommission [SRK] vom 6. April 2000, veröffentlicht in Verwaltungspraxis der Bundesbehörden [VPB] 64.111 E. 5b, vom 27. Juli 2004, veröffentlicht in VPB 69.7 E. 4b; Urteil des Bundesverwaltungsgerichts A-1386/2006 vom 3. April 2007 E. 1.3.4; vgl. auch Moser, a.a.O., Rz. 3.66 ff.).</w:t>
      </w:r>
    </w:p>
    <w:p>
      <w:r>
        <w:rPr>
          <w:b/>
        </w:rPr>
        <w:t>E. 1.4</w:t>
      </w:r>
    </w:p>
    <w:p>
      <w:r>
        <w:t>Am 1. Januar 2001 ist das Bundesgesetz vom 2. September 1999 über die Mehrwertsteuer (MWSTG, SR 641.20) in Kraft getreten. Soweit Sachverhalte vor dem 1. Januar 2001 zu beurteilen sind, findet jedoch die Verordnung vom 22. Juni 1994 über die Mehrwertsteuer (MWSTV, AS 1994 1464) Anwendung (Art. 93 Abs. 1 MWSTG).</w:t>
      </w:r>
    </w:p>
    <w:p>
      <w:r>
        <w:rPr>
          <w:b/>
        </w:rPr>
        <w:t>E. 2.1</w:t>
      </w:r>
    </w:p>
    <w:p>
      <w:r>
        <w:t>Der Steuer unterliegen nach Art. 4 Bst. a und b MWSTV bzw. Art. 5 Bst. a und b MWSTG die im Inland gegen Entgelt erbrachten Lieferungen von Gegenständen und Dienstleistungen sowie der Eigenverbrauch (Art. 4 Bst. c MWSTV, Art. 5 Bst. c MWSTG). Eine Lieferung liegt vor, wenn die Befähigung verschafft wird, im eigenen Namen über einen Gegenstand wirtschaftlich zu verfügen (Art. 5 Abs. 1 MWSTV, Art. 6 Abs. 1 MWSTG). Als Dienstleistung gilt nach Art. 6 Abs. 1 MWSTV bzw. Art. 5 Abs. 1 MWSTG jede Leistung, die keine Lieferung eines Gegenstandes ist.</w:t>
      </w:r>
    </w:p>
    <w:p>
      <w:r>
        <w:rPr>
          <w:b/>
        </w:rPr>
        <w:t>E. 2.2</w:t>
      </w:r>
    </w:p>
    <w:p>
      <w:r>
        <w:t>Steuerpflichtig ist, wer eine mit der Erzielung von Einnahmen verbundene gewerbliche oder berufliche Tätigkeit selbständig ausübt, selbst wenn die Gewinnabsicht fehlt, sofern seine Lieferungen, Dienstleistungen und sein Eigenverbrauch im Inland jährlich gesamthaft Fr. 75'000.-- übersteigen (Art. 17 Abs. 1 MWSTV, Art. 21 Abs. 1 MWSTG). Von der Steuerpflicht sind nach Art. 19 Abs. 1 Bst. a MWSTV bzw. Art. 25 Abs. 1 Bst. a MWSTG Unternehmer ausgenommen, deren Jahresumsatz höchstens Fr. 250'000.-- erreicht, sofern die nach Abzug der Vorsteuer verbleibende Steuer regelmässig nicht mehr als Fr. 4'000.-- im Jahr betragen würde. Die Steuerpflicht beginnt nach Ablauf des Kalenderjahres, in dem der massgebende Umsatz erzielt worden ist (Art. 21 Abs. 1 MWSTV, Art. 28 Abs. 1 MWSTG).</w:t>
      </w:r>
    </w:p>
    <w:p>
      <w:r>
        <w:rPr>
          <w:b/>
        </w:rPr>
        <w:t>E. 2.3</w:t>
      </w:r>
    </w:p>
    <w:p>
      <w:r>
        <w:t>Die Steuer wird vom Entgelt berechnet (Art. 26 Abs. 1 MWSTV, Art. 33 Abs. 1 MWSTG). Zum Entgelt gehört alles, was der Empfänger als Gegenleistung für die Lieferung oder Dienstleistung aufwendet (Art. 26 Abs. 2 MWSTV, Art. 33 Abs. 2 MWSTG).</w:t>
      </w:r>
    </w:p>
    <w:p>
      <w:r>
        <w:rPr>
          <w:b/>
        </w:rPr>
        <w:t>E. 2.4</w:t>
      </w:r>
    </w:p>
    <w:p>
      <w:r>
        <w:t>Die Veranlagung und Entrichtung der Mehrwertsteuer erfolgt nach dem Selbstveranlagungsprinzip (Art. 37 f. MWSTV, Art. 46 MWSTG;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an die ESTV abzuliefern hat. Der Steuerpflichtige hat seine Mehrwert-steuerforderung selbst festzustellen; er ist allein für die vollständige und richtige Versteuerung seiner steuerbaren Umsätze und für die korrekte Ermittlung der Vorsteuer verantwortlich (Urteile des Bundes-verwaltungsgerichts A-1476/2006 und A-1492/2006 vom 26. April 2007, E. 4.2.1; Isabelle Homberger Gut, in mwst.com, Basel/Genf/ München 2000, Art. 46 Rz. 1 ff.; Alois Camenzind/Niklaus Honauer/Klaus A. Vallender, Handbuch zum Mehrwertsteuergesetz, 2. Aufl., Bern 2003, Rz. 1579 ff.; vgl. Kommentar des Eidgenössischen Finanz-departements zur Verordnung über die Mehrwertsteuer vom 22. Juni 1994, S. 38). Ein Verstoss des Mehrwertsteuerpflichtigen gegen diesen Grundsatz ist als schwerwiegend anzusehen, da der Steuerpflichtige durch das Missachten dieser Vorschrift die ordnungsgemässe Erhebung der Mehrwertsteuer und damit das Steuersystem als solches gefährdet (Urteile des Bundesverwaltungsgerichts A-1553/2006 vom 26. September 2007 E. 2.4, A-1403/2006 vom 5. Juli 2007 E. 2.2.1).</w:t>
      </w:r>
    </w:p>
    <w:p>
      <w:r>
        <w:rPr>
          <w:b/>
        </w:rPr>
        <w:t>E. 2.5</w:t>
      </w:r>
    </w:p>
    <w:p>
      <w:r>
        <w:t>Gemäss Art. 47 Abs. 1 MWSTV bzw. Art. 58 Abs. 1 MWSTG hat der Steuerpflichtige seine Geschäftsbücher ordnungsgemäss zu führen und so einzurichten, dass sich aus ihnen die für die Feststellung der Steuerpflicht sowie für die Berechnung der 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Frühling 1997 für Mehrwert-steuerpflichtige neu herausgegeben [Wegleitung 1997], neu herausgegeben auch im Sommer 2000 als Wegleitung 2001 zur Mehrwertsteuer [Wegleitung 2001]) Gebrauch gemacht. In der Wegleitung 1997 und in der Wegleitung 2001 sind genauere Angaben enthalten, wie eine derartige Buchhaltung auszugestalten ist (Rz. 870 ff. Wegleitung 1997, Rz. 878 ff. Wegleitung 2001). Alle Geschäfts-vorfälle müssen fortlaufend, chronologisch und lückenlos aufge-zeichnet werden (Rz. 874 der Wegleitung 1997, Rz. 884 Wegleitung 2001)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879 der Wegleitung 1997, Rz. 893 f. der Wegleitung 2001).</w:t>
      </w:r>
    </w:p>
    <w:p>
      <w:r>
        <w:rPr>
          <w:b/>
        </w:rPr>
        <w:t>E. 2.6</w:t>
      </w:r>
    </w:p>
    <w:p>
      <w:r>
        <w:t>Die ESTV ermittelt die Höhe des geschuldeten Mehrwert-steuerbetrags nur dann an Stelle des Steuerpflichtigen, wenn dieser seinen Pflichten nicht nachkommt (vgl. Alois Camenzind/Niklaus Honauer, Handbuch zur neuen Mehrwertsteuer, Bern 1995, S. 267 f. Rz. 994 ff.). Nach Art. 48 MWSTV bzw. Art. 60 MWSTG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(Entscheid der SRK vom 3. Dezember 2003, veröffentlicht in VPB 68.73 E. 2b; vgl. zum Recht der Warenumsatzsteuer: BGE 105 Ib 182 ff. mit weiteren Hinweisen; Archiv für Schweizerisches Abgaberecht [ASA] 61 S. 819 E. 3a, 61 S. 532 f. E. 2b, 59 S. 563 E. 1). Selbst eine formell einwandfreie Buchführung kann die Durchführung einer Schätzung erfordern, wenn die in den Büchern enthaltenen Geschäftsergebnisse von den Erfahrungszahlen wesentlich abweichen (ASA 58 S. 383 E. 2b, mit weiteren Hinweisen, 42 S. 407 E. 2c, mit Hinweisen, 35 S. 479 E. 2). Dabei hat die Verwaltung diejenige Schätzungsmethode zu wählen, die den individuellen Verhältnissen im Betrieb des Steuerpflichtigen soweit als möglich Rechnung trägt, auf plausiblen Angaben beruht und deren Ergebnis der wirklichen Situation möglichst nahe kommt (Entscheid der SRK vom 5. Januar 2000, veröffentlicht in VPB 64.83 E. 3a; ASA 61 S. 819 E. 3a, 52 S. 238 E. 4). In Betracht fallen einerseits Methoden, die auf eine Ergänzung oder Rekonstruktion der ungenügenden Buchhaltung hinauslaufen, andererseits Umsatz-schätzungen aufgrund unbestrittener Teil-Rechnungsergebnisse in Verbindung mit Erfahrungssätzen (ASA 63 S. 239, 52 S. 239 E. 4). Dabei obliegt es dem Steuerpflichtigen, den Beweis für die Unrichtigkeit der Schätzung zu erbringen. Erst wenn der Steuer-pflichtige den Nachweis dafür erbringt, dass der Vorinstanz bei der Schätzung erhebliche Ermessensfehler unterlaufen sind, nimmt das Bundesverwaltungsgericht - wie früher die SRK - eine Korrektur der vorinstanzlichen Schätzung vor (Urteile des Bundesverwaltungsgerichts A-1553/2006 vom 26. September 2007 E. 2.6, A-1587/2006 vom 14. Mai 2007 E. 2.5; ausführlich zur Praxis der SRK: Entscheide der SRK vom 5. Januar 2000, a.a.O., E. 2 mit zahlreichen Hinweisen, vom 14. Mai 2003, veröffentlicht in VPB 67.122 E. 2 c/cc).</w:t>
      </w:r>
    </w:p>
    <w:p>
      <w:r>
        <w:rPr>
          <w:b/>
        </w:rPr>
        <w:t>E. 2.7</w:t>
      </w:r>
    </w:p>
    <w:p>
      <w:r>
        <w:t>Der Anspruch auf rechtliches Gehör ist das Recht des Privaten, in einem vor einer Verwaltungs- oder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(Häfelin/ Müller/Uhlmann, a.a.O., Rz. 1672 f.). Ein verfassungsrechtlicher Anspruch auf mündliche Stellungnahme besteht hingegen nicht (BGE 130 II 428 E. 2.1, 125 I 219 E. 9b; Urteil des Bundes-verwaltungsgerichts A-1349/2006 vom 22. Mai 2007 E. 2.9).</w:t>
      </w:r>
    </w:p>
    <w:p>
      <w:r>
        <w:rPr>
          <w:b/>
        </w:rPr>
        <w:t>E. 2.8</w:t>
      </w:r>
    </w:p>
    <w:p>
      <w:r>
        <w:t>Rechtsverzögerung im Sinn einer Verletzung des Art. 29 Abs. 1 BV ist gegeben, wenn die zuständige Behörde den Entscheid nicht innerhalb der Frist fällt, die nach der Natur der Sache und nach der Gesamtheit der übrigen Umstände noch als angemessen erscheint (BGE 130 I 312 E. 5, BGE 129 V 411 E. 1; Häfelin/Müller/Uhlmann, a.a.O. Rz. 1658).</w:t>
      </w:r>
    </w:p>
    <w:p>
      <w:r>
        <w:rPr>
          <w:b/>
        </w:rPr>
        <w:t>E. 3</w:t>
      </w:r>
    </w:p>
    <w:p>
      <w:r>
        <w:t>Im vorliegenden Fall machen die Beschwerdeführer geltend, die ESTV habe ihnen in der Sachverhaltsermittlung das rechtliche Gehör dadurch nicht gewährt, dass ihnen der Kontrollbericht vom 11. Mai 2004 nicht unaufgefordert zur Stellungnahme zugestellt worden sei. Die Beschwerdeführer rügen auch eine unrichtige Feststellung des Sachverhalts durch die ESTV. Die von der ESTV zur Umsatzermittlung herangezogene Bruttogewinnmarge von 68% basierend auf dem ausgewiesenen Wareneinkauf entspreche nicht den tatsächlichen Verhältnissen in ihrem Betrieb. Sie stellen jedoch die von der ESTV verwendete Erfahrungszahl von 32% als Anteil des Warenaufwands am gesamten Umsatz nicht grundsätzlich in Frage (Beschwerde S. 15).</w:t>
      </w:r>
    </w:p>
    <w:p>
      <w:r>
        <w:rPr>
          <w:b/>
        </w:rPr>
        <w:t>E. 3.1</w:t>
      </w:r>
    </w:p>
    <w:p>
      <w:r>
        <w:t>Die Kontrolle durch die ESTV bei den Beschwerdeführern fand am 21. und 22. April sowie am 10. und 11. Mai 2004 im Beisein von C._______ in der Privatwohnung von A._______ statt. C._______ war kaufmännische Leiterin/Gesellschafterin des Betriebs. Sie konnte sich laufend zur Kontrolle der ESTV äussern. Die Beschwerdeführer hatten ausserdem jederzeit Gelegenheit, volle Einsicht in die Akten des Verfahrens zu nehmen. Diese Einsicht wurde ihnen nie verwehrt. Allein aus dem Umstand, dass ihnen der Kontrollbericht vom 11. Mai 2004 nicht unaufgefordert zugestellt worden ist, kann keine Verletzung des rechtlichen Gehörs abgeleitet werden. Dies gilt insbesondere auch angesichts des umfangreichen Schreibens der ESTV vom 21. April 2004 an A._______ und C._______, mit dem die ESTV die Vorlage zahlreicher Belege einforderte, zu denen sich die Angeschriebenen äussern konnten. Schliesslich enthalten auch die EA Nr. 275'831 und 275'832 detaillierte Aufstellungen und Berechnungen der ESTV, zu denen sich die Beschwerdeführer schon ausserhalb des Einsprache-verfahrens, aber dann auch in diesem selbst vor der ESTV ausführlich äussern konnten. Das rechtliche Gehör wurde den Beschwerdeführern mithin in jedem Stadium des Verfahrens gewährt. Es bestehen auch keine Anzeichen dafür, dass die ESTV den Sachverhalt - soweit sie diesen im Licht des Art. 2 Abs. 1 VwVG in Bezug auf steuer-begründende oder steuererhöhende Tatsachen abzuklären hat (Urteil des Bundesverwaltungsgerichts A-1454/2006 vom 26. September 2007 E. 2.5) - nicht ermittelt hätte. Das Bundesverwaltungsgericht seinerseits basiert seinen Entscheid u.a. auf den Akten der ESTV, die in den beiden Aktenverzeichnissen vom 19. Oktober und 10. Dezember 2007 mit Nr. 1 bis 35 nummeriert sind und die den Beschwerdeführern zur Einsicht überlassen wurden. Der Kontrollbericht umfasst auch die Beilagen und die internen Bemerkungen. Die durch die ESTV abgedeckten internen Notizen über u.a. die Einleitung eines Strafverfahrens und über die Beurteilung des künftigen Steuerausfallrisikos sind im vorliegenden Fall nicht entscheidrelevant und müssen deshalb durch die ESTV auch nicht offengelegt werden (Zwischenverfügung des Bundesverwaltungs-gerichts im Verfahren A-1601/2006 vom 25. September 2007).</w:t>
      </w:r>
    </w:p>
    <w:p>
      <w:r>
        <w:rPr>
          <w:b/>
        </w:rPr>
        <w:t>E. 3.2</w:t>
      </w:r>
    </w:p>
    <w:p>
      <w:r>
        <w:t>Die ESTV hat die Entscheide, die Gegenstand der vorliegenden Beschwerdesache bilden, am 5. Juli 2004 erlassen. Die Beschwerde-führer haben dagegen am 1. September 2004 - unter Ausnützung der Gerichtsferien - Einsprache eingereicht, über die am 27. Juni 2007 entschieden worden ist. Die lange Verfahrensdauer mag für die Beschwerdeführer nicht ganz verständlich sein; allein, eine Rechtsverzögerung ist darin noch nicht zu erblicken, hat doch das Bundesgericht in einem anderen Fall bei einem etwas mehr als zwei Jahre dauernden Verfahren eine Rechtsverzögerung ausdrücklich verneint (Urteil des Bundesgerichts 2A.455/2006 vom 1. März 2007 E. 3.3; vgl. auch Urteil des Bundesverwaltungsgerichts A-1535/2007 vom 26. September 2007 E. 1.7). Ausserdem ist den Beschwerdeführern durch die Verfahrensdauer ohnehin kein Nachteil erwachsen; jedenfalls führen sie keinen solchen an.</w:t>
      </w:r>
    </w:p>
    <w:p>
      <w:r>
        <w:rPr>
          <w:b/>
        </w:rPr>
        <w:t>E. 3.3</w:t>
      </w:r>
    </w:p>
    <w:p>
      <w:r>
        <w:t>Die Voraussetzungen für eine Ermessenseinschätzung durch die ESTV lagen zweifellos vor (oben. E. 2.6). Das bestreiten die Beschwerdeführer denn auch zu Recht nicht. Die Beschwerdeführer haben insbesondere kein Kassabuch geführt, obwohl sie im Restaurant X._______ und im Betrieb Y._______ bargeldintensive Betriebe führten. Ein korrektes Verfolgen der Geschäftsvorfälle anhand einer Prüfspur war damit nicht möglich (E. 2.5). Sie erstellten rudimentäre Erfolgsrechnungen und Bilanzen. Hingegen hatte die ESTV in Bezug auf die Systematik der Debitoren/Kassarapporte nichts auszusetzen. Sie prüfte die Kreditoren für die Zeit vom 1. Januar bis 31. März 2002 vollständig und für die übrigen Steuerperioden stichprobenweise, was ebenfalls zu keinen Beanstandungen führte. Die ESTV berechnete den Umsatz der Beschwerdeführer anhand der vorliegenden Belege über den Warenaufwand. Entgegen ihren verfügbaren Erfahrungszahlen, nahm sie für den Betrieb der Beschwerdeführer nicht eine Bruttogewinnmarge von 70%, sondern nur eine solche von 68% zur Berechnung des relevanten Umsatzes in Anschlag. Die Beschwerdeführer behaupten nicht, dieser Ansatz sei falsch. Zu den einzelnen Einwendungen der Beschwerdeführer ist das Folgende auszuführen:</w:t>
      </w:r>
    </w:p>
    <w:p>
      <w:r>
        <w:rPr>
          <w:b/>
        </w:rPr>
        <w:t>E. 3.3.1</w:t>
      </w:r>
    </w:p>
    <w:p>
      <w:r>
        <w:t>Zunächst machen die Beschwerdeführer geltend, die Umsätze bzw. der damit verbundene Warenaufwand aus den Verkäufen an den Hotelbetrieb im gleichen Haus seien bei der Berechnung der Marge ausser acht zu lassen, da sich bei diesen Umsätzen die Frage eines ungenügenden Ertrags von vornherein nicht stelle. Das Gleiche gelte bei der tieferen Marge des Betriebs Y._______. Es ist für das Bundesverwaltungsgericht unerfindlich, weshalb sich bezüglich des Umsatzes mit dem Hotel im gleichen Haus für die Beschwerdeführer "die Frage ungenügenden Ertrags von vornherein nicht" stellen soll. Jedenfalls vermag die dazu von den Beschwerdeführern eingelegte Aufstellung (welche entgegen den Behauptungen der Beschwerdeführer keine "Abrechnung" ist) für den Verkauf eines Kaffees für Fr. 1.-- pro Tasse im März 2002 (ausserhalb des Beurteilungszeitraums) und die "Wochenabrechnung Hotel an Restaurant 06.05.-12.05.2002" über einen Halbpensionspreis von Fr. 15.-- (ebenfalls ausserhalb des Beurteilungszeitraums) nicht darauf hinzudeuten, dass die Beschwerdeführer dem Hotelbetrieb niedrigere Preise verrechneten, als dies marktüblich war. Die ESTV hat diesbezüglich im Rahmen ihrer Kontrolle vielmehr marktgerechte Preise festgestellt. Die Beschwerdeführer haben das Gegenteil nicht bewiesen. Es rechtfertigt sich deshalb nicht, die Umsätze mit dem Hotel bei der Festsetzung des Warenaufwands separat zu betrachten; dies gilt auch, weil die Beschwerdeführer den entsprechenden Warenaufwand nicht gesondert erfassten. Eine tiefere Marge im Betrieb Y._______ wirkt sich schon deshalb auf das Ergebnis nicht aus, weil der Umsatz dieses Betriebs im Jahr 1999 lediglich 5% des Gesamtumsatzes ausmachte. Einen Beweis über die tiefere Marge sind die Beschwerdeführer schuldig geblieben.</w:t>
      </w:r>
    </w:p>
    <w:p>
      <w:r>
        <w:rPr>
          <w:b/>
        </w:rPr>
        <w:t>E. 3.3.2</w:t>
      </w:r>
    </w:p>
    <w:p>
      <w:r>
        <w:t>Die Beschwerdeführer werfen der ESTV weiter vor, ihre günstige Preisstruktur nicht berücksichtigt zu haben. Soweit sie dazu eine Expertise fordern, ist auf Art. 2 Abs. 1 VwVG hinzuweisen, wonach im Steuerverfahren Art. 12 Bst. e VwVG keine Anwendung findet. Auch im Rahmen der Ermittlung des Sachverhalts von Amtes wegen durch das Bundesverwaltungsgericht (E. 1.2) bedarf es keiner Abklärung durch einen externen Gutachter, da der rechtserhebliche Sachverhalt genügend erstellt ist. Schliesslich hätte es den Beschwerdeführern frei gestanden, eine Beurteilung durch einen Gutachter als Parteistandpunkt und geeignete Beweise für ihre Behauptungen einzureichen. Die von den Beschwerdeführern eingelegten Menuekarten des Restaurant X._______ aus der zweiten Hälfte des Jahres 2000 zeigen Preise zwischen Fr. 11.-- und Fr. 27.50. Es handelt sich dabei offensichtlich um Mittagessen. Die Beschwerdeführer vergleichen diese Preise mit solchen eines ihrer Ansicht nach vergleichbaren Betriebs mit Menuekarten aus der Zeit November 2002 bis März 2003. Danach bewegten sich jene Preise in der Spanne von Fr. 14.50 bis Fr. 26.50. Weitere von den Beschwerdeführern zum Vergleich im Verfahren eingelegte Belege von diversen Betrieben zeigen Menuepreise zwischen Fr. 17.50 und Fr. 24.50 (inklusive Suppe oder Jus). Soweit aus diesen Belegen (ausserhalb des Beurteilungs-zeitraums) überhaupt ein Vergleich der verschiedenen Betriebe in unterschiedlichen Zeitabschnitten und bezüglich unterschiedlicher Speisen möglich ist, lässt sich daraus nur ableiten, dass die Beschwerdeführer im Jahr 2000 zwar ein sehr günstiges, einfaches Menu über Mittag angeboten haben (Salat und Teigwaren oder Pizza), sich ihre Preisstruktur im Übrigen aber von den anderen Betrieben nicht wesentlich unterschied. Wie oft sie dieses günstigste Menue verkauft haben, geht allerdings aus den Unterlagen ebensowenig hervor. Keine Belege finden sich über die von den Beschwerdeführern verfolgte Preisstruktur für Essen und Getränke am Abend. Die Beschwerdeführer vermögen deshalb die Schätzung der ESTV insoweit nicht in Frage zu stellen. Gleiches gilt für die Berechnung der Getränkepreise. Die ESTV hat aufgezeigt, dass allenfalls günstigen Preisen der Beschwerdeführer für Bier und Kaffee höhere Preise für Wein, Mineralwasser und Spirituosen gegenüberstanden, wobei die grossen Preisschwan-kungen (z.B. zwischen Fr. 8.38 und Fr. 794.25 pro Einheit für Wein) nicht erklärbar sind. Aber auch ein Durchschnittspreis zwischen Fr. 3.09 und Fr. 4.05 für 3dl Bier oder Fr. 3.34 und Fr. 3.55 für eine Tasse Kaffee zeigt keine aussergewöhnlich tiefe Preisstruktur, die zu einem höheren Warenanteil führen müsste, als der von der ESTV berechnete. Die Beschwerdeführer konnten damit keine Beweise für ihre Behauptung vorlegen, sie seien "mindestens ca. 10% billiger als vergleichbare Betriebe" gewesen.</w:t>
      </w:r>
    </w:p>
    <w:p>
      <w:r>
        <w:rPr>
          <w:b/>
        </w:rPr>
        <w:t>E. 3.3.3</w:t>
      </w:r>
    </w:p>
    <w:p>
      <w:r>
        <w:t>Schliesslich machen die Beschwerdeführer geltend, die ESTV habe den Umsatzrückgang - der sich im rückläufigen Warenaufwand zeige -, die Aufgabe der Geschäftstätigkeit per 30. Juni 2002, die persönlichen Rahmenbedingungen durch die berufliche Unerfahrenheit der Beschwerdeführer, die betrieblichen Rahmenbedingungen (hoher Mietzins bei ungeeignetem Lokal) und den Umstand nicht berück-sichtigt, dass Ware entwendet worden sei. Die Beschwerdeführer sind darauf hinzuweisen, dass sich - mit Ausnahme der behaupteten, nicht quantifizierten Warendiebstähle - alle genannten Faktoren im tatsächlichen Warenaufwand widerspiegeln, wie ihn die ESTV auf Grund der bei den Beschwerdeführern vorhandenen Unterlagen zusammengestellt hat. Der Warenaufwand hängt direkt vom (abnehmenden) Umsatz ab und der Umsatz wiederum hängt von den betrieblichen und persönlichen Rahmenbedingungen ab, die für die Beschwerdeführer herrschten. Es ist deshalb nicht ersichtlich, was die Beschwerdeführer aus dieser Argumentation zu ihren Gunsten ableiten können.</w:t>
      </w:r>
    </w:p>
    <w:p>
      <w:r>
        <w:rPr>
          <w:b/>
        </w:rPr>
        <w:t>E. 3.3.4</w:t>
      </w:r>
    </w:p>
    <w:p>
      <w:r>
        <w:t>Die ESTV hat damit zusammenfassend die Schätzungsmethode gewählt, die den individuellen Verhältnissen im Betrieb der Beschwerdeführer im Restaurant X._______ und im Betrieb Y._______ soweit als möglich Rechnung trägt, auf plausiblen Angaben beruht und deren Ergebnis der wirklichen Situation möglichst nahe kommt. Sie hat Umsatzschätzungen aufgrund unbestrittener Teil-Rechnungsergeb-nisse in Verbindung mit - von den Beschwerdeführern nicht bestrittenen - Erfahrungssätzen verwendet (E. 2.6). Die ESTV hat bei ihren Schätzungen dem individuellen Betrieb insbesondere Rechnung getragen, indem sie Korrekturen aufgrund von Angaben von C._______ für Non-Food-Aufwendungen machte und die Personalverpflegung berücksichtigte; sie hat auch das spezielle Angebot im Restaurant X._______ mit Pizzas und traditioneller Küche angemessen in die Schätzung miteinbezogen. Die Beschwerdeführer haben demgegenüber den Beweis für die Unrichtigkeit der Schätzung nicht erbracht (E. 2.6). Das Bundesverwaltungsgericht hat deshalb keinen Anlass, eine Korrektur der Schätzung der ESTV vorzunehmen. Die Beschwerde ist mithin abzuweisen.</w:t>
      </w:r>
    </w:p>
    <w:p>
      <w:r>
        <w:rPr>
          <w:b/>
        </w:rPr>
        <w:t>E. 4</w:t>
      </w:r>
    </w:p>
    <w:p>
      <w:r>
        <w:t>Die Verfahrenskosten sind bei diesem Ausgang des Verfahrens den Beschwerdeführern aufzuerlegen (Art. 63 Abs. 1 VwVG). Sie betragen nach Art. 4 des Reglements vom 11. Dezember 2006 über die Kosten und Entschädigungen vor dem Bundesverwaltungsgericht (VGKE, SR 173.320.2) Fr. 2'000.-- und werden mit dem Kostenvorschuss in gleicher Höhe verrechnet. Eine Parteientschädigung wird bei diesem Ausgang des Verfahrens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