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A-568/2009 vom 17. Juli 2010</w:t>
      </w:r>
    </w:p>
    <w:p>
      <w:r>
        <w:t>Bundesverwaltungsgericht, 2010-07-17, DE</w:t>
      </w:r>
    </w:p>
    <w:p>
      <w:r>
        <w:rPr>
          <w:b/>
        </w:rPr>
        <w:t xml:space="preserve">Quelle: </w:t>
      </w:r>
      <w:r>
        <w:t>https://mcp.opencaselaw.ch/entscheid/bvger_A-568_2009</w:t>
      </w:r>
    </w:p>
    <w:p>
      <w:r>
        <w:t>FR: TAF A-568/2009 du 17 juillet 2010</w:t>
      </w:r>
    </w:p>
    <w:p>
      <w:r>
        <w:t>IT: TAF A-568/2009 del 17 luglio 2010</w:t>
      </w:r>
    </w:p>
    <w:p>
      <w:pPr>
        <w:pStyle w:val="Heading2"/>
      </w:pPr>
      <w:r>
        <w:t>Regeste</w:t>
      </w:r>
    </w:p>
    <w:p>
      <w:r>
        <w:t>Mehrwertsteuer</w:t>
      </w:r>
    </w:p>
    <w:p>
      <w:pPr>
        <w:pStyle w:val="Heading2"/>
      </w:pPr>
      <w:r>
        <w:t>Erwägungen</w:t>
      </w:r>
    </w:p>
    <w:p>
      <w:r>
        <w:rPr>
          <w:b/>
        </w:rPr>
        <w:t>E. 1.1</w:t>
      </w:r>
    </w:p>
    <w:p>
      <w:r>
        <w:t>Zur Beschwerde legitimiert ist nach Art. 48 Abs. 1 des Bundesgesetzes vom 20. Dezember 1968 über das Verwaltungsverfahren (VwVG, SR 172.021), wer vor der Vorinstanz am Verfahren teilgenommen hat (Bst. a), durch die angefochtene Verfügung besonders berührt ist (Bst. b) und ein schutzwürdiges Interesse an deren Anfechtung oder Änderung hat (Bst. c). Die Beschwerdeführerin hat als Verfügungsadressatin am vorinstanzlichen Verfahren teilgenommen. Die Beschwerde ist jedoch vom früheren Verwaltungsratsmitglied A._______ unterzeichnet, der zum damaligen Zeitpunkt nicht mehr zeichnungsberechtigt war. Am 20. Januar 2010 reichte die Beschwerdeführerin eine Vollmacht für A._______ ein, weshalb die Beschwerde rechtsgültig unterzeichnet ist. Weiter ist das von Art. 48 Abs. 1 VwVG verlangte Rechtsschutzinteresse gegeben. Damit ist auf die vorliegende Beschwerde einzutreten. Auf die von der Beschwerdeführerin vorgebrachten Einwände, die Zustellungen seien nicht korrekt erfolgt, ist nicht weiter einzugehen, da die Schreiben/Verfügungen der ESTV jeweils an das Domizil gemäss Handelsregistereintrag oder an die von der Beschwerdeführerin gewünschte Adresse zugestellt worden sind.</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dem Inkrafttreten des Bundesgesetzes vom 2. September 1999 über die Mehrwertsteuer (aMWSTG, AS 2000 1300) am 1. Januar 2001 getätigt worden sind, bleiben deshalb die materiellen Bestimmungen des aMWSTG anwendbar. Für Umsätze vor dem 1. Januar 2001 kommt noch die Verordnung vom 22. Juni 1994 über die Mehrwertsteuer (aMWSTV, AS 1994 1464) zur Anwendung (Art. 93 Abs. 1 und Art. 94 Abs. 1 aMWSTG).</w:t>
      </w:r>
    </w:p>
    <w:p>
      <w:r>
        <w:rPr>
          <w:b/>
        </w:rPr>
        <w:t>E. 2.1</w:t>
      </w:r>
    </w:p>
    <w:p>
      <w:r>
        <w:t>Verwendet ein Mehrwertsteuerpflichtiger Gegenstände oder Dienstleistungen für einen in Art. 29 Abs. 1 und 2 aMWSTV bzw. Art. 38 Abs. 1 und 2 aMWSTG genannten Zweck, namentlich für steuerbare Lieferungen und Dienstleistungen, so kann er in seiner Mehrwertsteuerabrechnung die ihm von anderen Mehrwertsteuerpflichtigen in Rechnung gestellte Mehrwertsteuer für Lieferungen und Dienstleistungen abziehen. Die Vorsteuerabzugsberechtigung setzt mithin unter dem alten Mehrwertsteuerrecht voraus, dass der Mehrwertsteuerpflichtige die vorsteuerbelastete Eingangsleistung ("Input") für steuerbare Umsätze ("Output")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353 E. 8.3, ferner E. 10; Urteile des Bundesgerichts 2A.650/2005 vom 16. August 2006 E. 3.4, 2A.348/2004 vom 1. Dezember 2004 E. 3.3.2, 2A.273/2002 vom 13. Januar 2003 E. 5.2 mit Hinweis auf BGE 123 II 303 E. 6a, 2A.175/2002 vom 23. Dezember 2002 E. 5.2; Urteile des Bundesverwaltungsgerichts A-6612/2007 vom 11. Dezember 2009 E. 2.6, A-3440/2007 vom 22. September 2009 E. 2.2, A-1538/2006 vom 28. Mai 2008 E. 2.2, A-1376/2006 vom 20. November 2007 E. 5.1, A-1359/2006 vom 26. Juli 2007 E. 5.2 mit Hinweisen). Der Zusammenhang ist indirekt bzw. mittelbar, wenn eine steuerbare Leistung mit Hilfe der vorsteuerbelasteten Eingangsleistung ausgeführt wird, diese Eingangsleistung aber doch nicht direkt in die steuerbare Ausgangsleistung Eingang fand, so beispielsweise bei Produktionsmitteln, Investitionsgütern, Verwaltungsleistungen (BGE 132 II 353 E. 8.3; Urteil des Bundesverwaltungsgerichts A-1357/2006 vom 27. Juni 2007 E. 2.1 mit Hinweisen; vgl. auch ALOIS CAMENZIND/NIKLAUS HONAUER/KLAUS A. VALLENDER, Handbuch zum Mehrwertsteuergesetz [MWSTG], Bern 2003, 2. Aufl., Rz. 1395).</w:t>
      </w:r>
    </w:p>
    <w:p>
      <w:r>
        <w:rPr>
          <w:b/>
        </w:rPr>
        <w:t>E. 2.2</w:t>
      </w:r>
    </w:p>
    <w:p>
      <w:r>
        <w:t>Die Mehrwertsteuerforderung verjährt gemäss Art. 40 Abs. 1 aMWSTV bzw. Art. 49 Abs. 1 aMWSTG fünf Jahre nach Ablauf des Kalenderjahres, in dem sie entstanden ist. Was für die Mehrwertsteuerforderung gilt, trifft auch auf die Rückforderung der ESTV von zu viel ausbezahlten Vorsteuern zu. Der Lauf der Verjährungsfrist wird durch jede Einforderungshandlung unterbrochen (Art. 40 Abs. 2 aMWSTV bzw. Art. 49 Abs. 2 aMWSTG). Die Einforderungshandlung ist nach der bundesgerichtlichen Rechtsprechung an keine besondere Form gebunden (Urteil des Bundesgerichts vom 1. Mai 2002, veröffentlicht in Archiv für schweizerisches Abgaberecht [ASA] 73 S. 237 E. 3e, Urteil des Bundesgerichts 2A.314/2006 vom 10. Oktober 2006 E. 2.6). Unter den Begriff der Einforderungshandlung fallen nicht nur die eigentlichen Steuerbezugshandlungen; jede dem Mehrwertsteuerpflichtigen zur Kenntnis gebrachte, auf Einforderung oder Feststellung des Steueranspruchs gerichtete Amtshandlung genügt, um die Verjährung zu unterbrechen. Dabei ist nicht notwendig, dass der Tatbestand, welchen die ESTV als mehrwertsteuerpflichtig erachtet, bereits nach allen Richtungen hin abgeklärt ist. Auch braucht der Mehrwertsteuerbetrag nicht unbedingt ziffernmässig festgesetzt zu werden. Mit einer vorläufigen Mitteilung kann die Verwaltung die Verjährung ferner für den ganzen Mehrwertsteueranspruch unterbrechen, selbst wenn sie die Forderung später noch erhöhen muss. Als verjährungsunterbrechende Einforderungshandlung gilt namentlich die Ankündigung und Vornahme von Bücheruntersuchungen, die Zustellung einer EA bzw. einer Gutschrift oder die Aufforderung bzw. Mahnung zur Zahlung (vgl. BGE 126 II 1 E. 2c; Urteile des Bundesgerichts 2A.314/2006 vom 10. Oktober 2006 E. 2.6, vom 1. Mai 2002, veröffentlicht in ASA 73 S. 237 E. 3; Urteile des Bundesverwaltungsgerichts A-1562/2006 vom 26. September 2008 E. 2.7, A-1525/2006 vom 28. Januar 2008 E. 1.4, A-1427/2006 vom 23. November 2007 E. 2.6, A-1402/2006 vom 17. Juli 2007 E. 2.4). Die Verjährung regelt sich auch unter dem neuen Recht nach dem bisherigen Recht (Art. 112 Abs. 1 MWSTG).</w:t>
      </w:r>
    </w:p>
    <w:p>
      <w:r>
        <w:rPr>
          <w:b/>
        </w:rPr>
        <w:t>E. 2.3</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A-2036/2008 vom 19. August 2009 E. 2.4.1, A-1711/2006 vom 23. Januar 2009 E. 2.8, A-1336/2006 vom 2. Juli 2008 E. 4.4 mit Hinweisen). 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(BGE 131 II 627 E. 6.1, 118 Ib 312 E. 3b; Urteil des Bundesgerichts vom 3. August 2000, veröffentlicht in Archiv für Schweizerisches Abgaberecht [ASA] 70 S. 771 f. E. 6a). In Bezug auf mündliche und im Speziellen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2A.191/2002 vom 21. Mai 2003 E. 3.2.2; Urteile des Bundesverwaltungsgerichts A-2036/2008 vom 19. August 2009 E. 2.4.2, A-1681/2006 vom 13. März 2008 E. 5.2.7; Entscheid der Eidgenössischen Steuerrekurskommission [SRK] vom 6. März 2006, veröffentlicht in Verwaltungspraxis der Bundesbehörden [VPB] 70.78 E. 5c mit Hinweisen). Eine Auskunft muss durch schriftliche Unterlagen belegt werden können und es wird beispielsweise verlangt, dass derjenige, der sich auf eine Auskunft oder Zusicherung berufen will, sich diese von der Verwaltung schriftlich bestätigen lässt (vgl. auch Urteile des Bundesverwaltungsgerichts A-2036/2008 vom 19. August 2009 E. 2.4.2, A-1391/2006 vom 16. Januar 2008 E. 3.2).</w:t>
      </w:r>
    </w:p>
    <w:p>
      <w:r>
        <w:rPr>
          <w:b/>
        </w:rPr>
        <w:t>E. 3.1</w:t>
      </w:r>
    </w:p>
    <w:p>
      <w:r>
        <w:t>Im vorliegenden Fall macht die Beschwerdeführerin in ihrer Beschwerde beim Bundesverwaltungsgericht nicht mehr geltend, der Mehrwertsteuer unterliegende Ausgangsumsätze ("Output") erzielt zu haben; sie hat solche in ihren regelmässigen Mehrwertsteuerabrechnungen für die Steuerperioden vom 1. Januar 2000 bis 31. März 2003 auch nicht ausgewiesen. In den Einsprachen vom 9. Februar 2004 hatte sie noch vorgebracht, ihr Warengeschäft habe definitiv im Jahr 2000 geendet, die Stilllegung der Gesellschaft sei Ende 2002 erfolgt. Die gemeldeten Quartalsumsätze 2001 und 2002 seien immer Null gewesen. In der Beschwerde vom 27. Januar 2009 kommt sie nicht einmal mehr auf diese Begründung für einen gewissen Ausgangsumsatz im Jahr 2000 zurück. Sie behauptet lediglich, sie habe ihre Geschäftstätigkeit im Lauf des Jahres 2002 bis 31. März 2003 vollumfänglich eingestellt und deshalb ihre Umsatzsteuernummer/Mehrwertsteuernummer löschen lassen. Die Löschung der Beschwerdeführerin im Register der Mehrwertsteuerpflichtigen erfolgte auf den 31. März 2003; die Frage der Löschung hat deshalb keinerlei Relevanz in Bezug auf Forderungen der ESTV vor diesem Datum. Ebenso ist der weitere Einwand des Vertreters der Beschwerdeführerin völlig irrelevant, ob er diese an einen Dritten verkauft und deren Aktien übertragen hat, bleibt doch immer unverändert die Beschwerdeführerin Schuldnerin der Forderungen der ESTV. Eigenverbrauch oder Liquidationserlös macht die Beschwerdeführerin schliesslich auch nicht geltend. Fehlt es folglich an einem der Mehrwertsteuer unterliegenden Ausgangsumsatz, und liegt auch kein Eigenverbrauch oder Liquidationserlös vor, können folgerichtig keine Vorsteuern geltend gemacht werden (vgl. oben E. 2.1).</w:t>
      </w:r>
    </w:p>
    <w:p>
      <w:r>
        <w:rPr>
          <w:b/>
        </w:rPr>
        <w:t>E. 3.2</w:t>
      </w:r>
    </w:p>
    <w:p>
      <w:r>
        <w:t>Der Rückforderungsanspruch der ESTV entstand mit den jeweiligen Auszahlungen der durch die Beschwerdeführerin zu Unrecht bezogenen Vorsteuern für die Steuerperioden 1. Januar 2000 bis 31. März 2003; er verjährt fünf Jahre nach der Entstehung. Die ESTV hat der Beschwerdeführerin gegenüber mit den beiden EA (Nr. 07426748 und 07426749) vom 22. August 2003 ihren Rückforderungsanspruch betreffend diese Steuerperioden 1. Januar 2000 bis 31. März 2003 geltend gemacht und die Verjährung damit unterbrochen. Weitere Unterbrechungen erfolgten jeweils durch die Entscheide der ESTV vom 12. Januar 2004 und den Einspracheentscheid vom 22. Dezember 2008. Die Forderungen der ESTV gegenüber der Beschwerdeführerin sind damit zweifellos nicht verjährt (vgl. oben E. 2.2).</w:t>
      </w:r>
    </w:p>
    <w:p>
      <w:r>
        <w:rPr>
          <w:b/>
        </w:rPr>
        <w:t>E. 3.3</w:t>
      </w:r>
    </w:p>
    <w:p>
      <w:r>
        <w:t>Im Einspracheentscheid stellt die ESTV nicht in Abrede, zwischen der Beschwerdeführerin und ihren Mitarbeitern hätten Gespräche stattgefunden; Absprachen bezüglich einer Vorsteuerrückerstattung trotz fehlenden gesetzlichen Voraussetzungen seien aber aus den Akten nicht ersichtlich und auch sonst in keiner Weise nachvollziehbar. Das Bundesverwaltungsgericht teilt diese Ansicht der ESTV; tatsächlich finden sich in den vorliegenden Akten keinerlei Hinweise auf telefonische oder direkte Absprachen betreffend die Vorsteuerrückerstattungen zwischen der Beschwerdeführerin, ihrem Vertreter und der ESTV. Die Beschwerdeführerin vermag auch keine diesbezüglichen schriftlichen Beweise zu nennen oder Zeugen anzurufen, sodass sie sich nicht mit Erfolg auf solche Absprachen zu berufen vermag (vgl. oben E. 2.3).</w:t>
      </w:r>
    </w:p>
    <w:p>
      <w:r>
        <w:rPr>
          <w:b/>
        </w:rPr>
        <w:t>E. 4</w:t>
      </w:r>
    </w:p>
    <w:p>
      <w:r>
        <w:t>Dem Gesagten zufolge ist die Beschwerde abzuweisen. Bei diesem Verfahrensausgang sind der Beschwerdeführerin die Kosten für das Beschwerdeverfahren aufzuerlegen (vgl. Art. 63 Abs. 1 VwVG). Die Verfahrenskosten sind auf Fr. 2'200.-- festzusetzen (Art. 4 des Reglements vom 21. Februar 2008 über die Kosten und Entschädigungen vor dem Bundesverwaltungsgericht [VGKE, SR 173.320.2]) und mit dem Kostenvorschuss in gleicher Höhe zu verrechnen. Eine Parteientschädigung an die Beschwerdeführerin ist unter diesen Umständen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