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A-5680/2023 vom 18. November 2024</w:t>
      </w:r>
    </w:p>
    <w:p>
      <w:r>
        <w:t>Bundesverwaltungsgericht, 2024-11-18, DE</w:t>
      </w:r>
    </w:p>
    <w:p>
      <w:r>
        <w:rPr>
          <w:b/>
        </w:rPr>
        <w:t xml:space="preserve">Quelle: </w:t>
      </w:r>
      <w:r>
        <w:t>https://mcp.opencaselaw.ch/entscheid/bvger_A-5680_2023</w:t>
      </w:r>
    </w:p>
    <w:p>
      <w:r>
        <w:t>FR: TAF A-5680/2023 du 18 novembre 2024</w:t>
      </w:r>
    </w:p>
    <w:p>
      <w:r>
        <w:t>IT: TAF A-5680/2023 del 18 novembre 2024</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Die Beschwerdeführerin erfüllt als Verfügungsadressatin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 zu finden unter https://www.oecd.org/ -&gt; publications -&gt; model tax convention on income and on capital).</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A-5812/2020 vom 21. Dezember 2021 E. 2.1.2). In letzterem Sinne ist auch Art. 17 Abs. 2 StAhiG zu verstehen, wonach Informationen, welche voraussichtlich nicht erheblich sind, nicht übermittelt werden dürfen und von der ESTV auszusondern oder unkenntlich zu machen sind (vgl. Urteile des BVGer A-3773/2018 vom 8. Februar 2019 E. 2.5 und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Art. XIV, Ziff. 2 des zugehörigen Protokolls, welches wie Art. 25 DBA CH-KR per 25. Juli 2012 in Kraft trat (AS 2012 4069) sowie die Verständigungsvereinbarung, abgeschlossen am 3. Juli 2012 mit Inkrafttreten am 3. Juli 2012 (AS 2012 4219) zu beachten.</w:t>
      </w:r>
    </w:p>
    <w:p>
      <w:r>
        <w:rPr>
          <w:b/>
        </w:rPr>
        <w:t>E. 2.2.2</w:t>
      </w:r>
    </w:p>
    <w:p>
      <w:r>
        <w:t>Ziff. 2 Bst. b des Protokolls zum DBA CH-KR enthält formelle Anforderungen an ein Amtshilfeersuchen. Bst. a derselben Ziffer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2.2.2.1</w:t>
      </w:r>
    </w:p>
    <w:p>
      <w:r>
        <w:t>Sofern - wie im vorliegenden Fall - ein Ersuchen Personen unbestimmter Anzahl betrifft, deren Namen und Adressen die ersuchende Behörde nicht kennt und die anhand eines identischen Verhaltensmusters zu identifizieren sind (anhand bestimmter Gruppenmerkmale), handelt es sich um ein Gruppenersuchen (BGE 143 II 136 E. 6.3, siehe auch statt vieler Urteil des BGer 2C_695/2017 vom 29. Oktober 2018 E. 4.4). Folglich sind die entsprechenden Kriterien für Gruppenersuchen heranzuziehen, welche das Bundesgericht in BGE 143 II 136 entwickelt hat. In diesem Urteil äusserte sich das Bundesgericht insbesondere zur Zulässigkeit solcher Gruppenersuchen. Demnach muss der ersuchende Staat eine detaillierte Beschreibung der Gruppe geben, welche die spezifischen Tatsachen und Umstände beschreibt, die zum Ersuchen geführt haben; er muss das anwendbare (Steuer-)Recht erläutern und aufzeigen, weshalb Gründe vorliegen, welche annehmen lassen, die Steuerpflichtigen in der Gruppe hätten ihre Verpflichtungen nicht erfüllt; er muss aufzeigen, dass die eingeforderten Informationen zur Erfüllung der Verpflichtungen der Steuerpflichtigen der Gruppe führen können (BGE 143 II 136 E. 6.1.2 m.w.H.). Es ist somit ein stärkerer Bezug zu konkreten Umständen herzustellen als bei Einzelersuchen. Im Vordergrund steht dabei der Nachweis von Tatsachen, die auf ein gesetzeswidriges Verhalten der Gruppenangehörigen hindeuten; Gruppenanfragen zu blossen Veranlagungszwecken ohne Verdachtsmomente werden daher nicht zugelassen. Allerdings wird nur ausnahmsweise eine «Fishing Expedition» angenommen, da die Voraussetzungen zur Annahme einer solchen hoch sind.</w:t>
      </w:r>
    </w:p>
    <w:p>
      <w:r>
        <w:rPr>
          <w:b/>
        </w:rPr>
        <w:t>E. 2.2.2.2</w:t>
      </w:r>
    </w:p>
    <w:p>
      <w:r>
        <w:t>Dies gilt auf Grundlage von Art. 25 DBA CH-KR und Bst. a der dazugehörige Verständigungsvereinbarung (AS 2012 4219) auch für den vorliegenden Fall. Insbesondere Bst. a der Verständigungsvereinbarung regelt, dass die Identifikation der vom Amtshilfeersuchen betroffenen Person auch auf andere Weise als durch Angabe des Namens und der Adresse erfolgen kann.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(vgl. E. 1.1 vorstehend).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(siehe dazu sogleich E. 2.4)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2.5.1</w:t>
      </w:r>
    </w:p>
    <w:p>
      <w:r>
        <w:t>Das Recht auf Akteneinsicht ist Teil des verfassungsrechtlichen Anspruchs auf rechtliches Gehör, welcher in Art. 29 Abs. 2 der Bundesverfassung der Schweizerischen Eidgenossenschaft (BV, SR 101) verankert ist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Art. 26 N 32).</w:t>
      </w:r>
    </w:p>
    <w:p>
      <w:r>
        <w:rPr>
          <w:b/>
        </w:rPr>
        <w:t>E. 2.5.2</w:t>
      </w:r>
    </w:p>
    <w:p>
      <w:r>
        <w:t>Das Akteneinsichtsrecht bezieht sich auf sämtliche Akten eines Verfahrens, die für dieses erstellt oder beigezogen wurden, ohne dass ein besonderes Interesse geltend gemacht werden müsste (BGE 144 II 427 E. 3.1.1; 129 I 249 E. 3).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Urteile des BGer 1B_240/2021 vom 8. Februar 2022 E. 2.2; 1B_287/2012 vom 25. Juni 2012 E. 2.3).</w:t>
      </w:r>
    </w:p>
    <w:p>
      <w:r>
        <w:rPr>
          <w:b/>
        </w:rPr>
        <w:t>E. 2.5.3</w:t>
      </w:r>
    </w:p>
    <w:p>
      <w:r>
        <w:t>Im Bereich der internationalen Steueramtshilfe wird (für das Verfahren vor der ESTV) das Recht auf Akteneinsicht explizit in Art. 15 StAhiG festgehalten (Urteil des BVGer A-6532/2020 vom 21. Dezember 2021 E. 2.2.1). Gemäss Art. 15 Abs. 1 StAhiG können sich die beschwerdeberechtigten Personen am Verfahren beteiligen und Einsicht in die Akten nehmen. Zu den Teilnahmerechten im Amtshilfeverfahren gehören unter anderem das Recht auf Akteneinsicht sowie das Recht auf Abnahme liquider Beweise zur sofortigen Entkräftung der Vorwürfe, wobei im Amtshilfeverfahren kein eigentliches Beweisverfahren zum tatverdacht durchgeführt wird (Charlotte Schoder, StAhiG Praxiskommentar zum Bundesgesetz über die internationale Amtshilfe in Steuersachen, 2014, Rz. 199).</w:t>
      </w:r>
    </w:p>
    <w:p>
      <w:r>
        <w:rPr>
          <w:b/>
        </w:rPr>
        <w:t>E. 3</w:t>
      </w:r>
    </w:p>
    <w:p>
      <w:r>
        <w:t>Nachfolgend ist zu prüfen, ob die Voraussetzung für einen Informationsaustausch auf Grundlage des Gruppenersuchens im Rahmen der Amtshilfe erfüllt sind.</w:t>
      </w:r>
    </w:p>
    <w:p>
      <w:r>
        <w:rPr>
          <w:b/>
        </w:rPr>
        <w:t>E. 3.1</w:t>
      </w:r>
    </w:p>
    <w:p>
      <w:r>
        <w:t>Die Beschwerdeführerin trägt vor, der Domizilcode sei von Anfang an falsch bei der Bank hinterlegt gewesen, was Ende 2015 entdeckt und unverzüglich berichtigt worden sei. Es könne nachgewiesen werden, dass sie sich (d.h. die Beschwerdeführerin) jeweils nur kurz für Besuche in der Republik Korea aufgehalten habe und eine steuerliche Ansässigkeit in Grossbritannien bestehe. Aus diesem Grund seien die Voraussetzungen für das Amtshilfeersuchen vorliegend nicht erfüllt.</w:t>
      </w:r>
    </w:p>
    <w:p>
      <w:r>
        <w:rPr>
          <w:b/>
        </w:rPr>
        <w:t>E. 3.2</w:t>
      </w:r>
    </w:p>
    <w:p>
      <w:r>
        <w:t>Die Vorinstanz beruft sich im Wesentlich darauf, dass die Bestimmung des steuerrechtlichen Wohnsitzes in die ausschliessliche Zuständigkeit des NTS falle. Die Beschwerdeführerin habe es nicht vermocht, ihren Ausschluss aus der Gruppe der von der Übermittlung betroffener Personen zu begründen. Die Fragen, wie der Beweis der Steuerehrlichkeit erbracht werden muss und ob überhaupt eine Steuerpflicht in der Republik Korea besteht, müsse vorliegend nicht beantwortet werden.</w:t>
      </w:r>
    </w:p>
    <w:p>
      <w:r>
        <w:rPr>
          <w:b/>
        </w:rPr>
        <w:t>E. 3.3.1</w:t>
      </w:r>
    </w:p>
    <w:p>
      <w:r>
        <w:t>Der NTS verlangt vorliegend Aufschluss über die Identität bestimmter Personen, welche im relevanten Zeitraum bzw. während einem Teil dieses Zeitraums über eine Domiziladresse in der Republik Korea verfügten und welche von der Bank mit Schreiben vom 31. August 2015 aufgefordert worden waren, einen Nachweis der Steuerehrlichkeit zu erbringen, diesen Nachweis aber nicht erbrachten. Mit dem Amtshilfeersuchen vom 23. November 2022 macht der NTS detailliert Ausführungen zu den Umständen und Hintergründen, welche zum Gruppenersuchen geführt haben. Der NTS möchte mit dem Ersuchen insbesondere die Einhaltung der steuerlichen Meldepflichten jener untersuchen, die trotz Aufforderung der Bank keine hinreichenden Nachweise eingereicht haben («Korean residents who didn't submit sufficient evidence despite the request from Credit Suisse to submit confirmation about tax compliance from tax or legal advisers» [act. 1, Ziff. 7]). Der NTS vermutet, dass die betroffenen gegen Steuerrecht in der Republik Korea verstossen haben («are highly likely to be non-compliant with tax rules in Korea» [act. 1, Ziff. 13 (2) 2)]). Zum Hintergrund führt der NTS weiter aus, die Pflicht ausländische Bankkonten anzugeben, sei in der Republik Korea im Jahr 2011 eingeführt worden. Ein Listenersuchen aus dem Jahr 2020 habe Personen betroffen, bei denen im Jahr 2012 bei der Bank ein entsprechender Domizilcode hinterlegt gewesen sei. Es werde aufgrund der zwischenzeitlich durchgeführten Untersuchungen davon ausgegangen, dass es weitere Bankkonten gebe, welche noch nicht ordnungsgemäss deklariert worden seien. Insbesondere die Personen, die der Bank auf das Schreiben vom 31. August 2015, in welchem sie aufgefordert wurden, Nachweise über die Steuerehrlichkeit durch einen Steuerberater oder Rechtsvertreter einzureichen, aber keine hinreichenden Beweise lieferten, verstiessen höchstwahrscheinlich gegen südkoreanisches Steuerrecht. Diese Vermutung sei durch vergleichbare Fälle gestützt, in welchen sich herausgestellt habe, dass ein Verstoss vorliege, was einen konkreten Hinweis auf steuerliche Unregelmässigkeiten darstellen könnte («The assumption is supported by the fact that with high probability, Koreans holding financial accounts at Switzerland [...] showed tax non-compliance and non-reporting [...] as shown in the case of the previous bulk request and a host of subsequent audits [act. 1, Ziff. 13 (2) 2)]»). Aufgrund des völkerrechtlichen Vertrauensprinzips besteht kein Anlass, an der Richtigkeit dieser Ausführungen der ersuchenden Behörde zu zweifeln (E. 2.4 vorstehend).</w:t>
      </w:r>
    </w:p>
    <w:p>
      <w:r>
        <w:rPr>
          <w:b/>
        </w:rPr>
        <w:t>E. 3.3.2</w:t>
      </w:r>
    </w:p>
    <w:p>
      <w:r>
        <w:t>Die vom Bundesgericht entwickelten Kriterien zu Gruppenersuchen (E. 2.2.2.1 vorstehend) sind erfüllt. Die voraussichtliche Erheblichkeit der Informationen ergibt sich betreffend den von der Gruppe betroffenen Personen bereits aus dem Amtshilfeersuchen. Die Bank beurteilte die genannten Kriterien in Bezug auf die betroffene Person als erfüllt, ansonsten sie die ersuchten Informationen nicht ediert hätte. Folglich liegt insoweit auch keine «fishing expedition» vor. Das Ersuchen erläutert, dass es insbesondere um Bankkonten geht, bei denen im Jahr 2012 der entsprechende Domizilcode hinterlegt gewesen sei, also nach der Einführung der Deklarationspflicht ausländischer Konten in der Republik Korea im Jahr 2011. Die Beschwerdeführerin beruft sich zwar darauf, der bei der Bank hinterlegte Domizilcode sei falsch gewesen, weshalb dieser im Jahr 2016 für die Periode 2015-2017 korrigiert worden sei, aus den Akten ergibt sich allerdings nur eine Anpassung für die Zukunft. Die Beschwerdeführerin konnte insbesondere nicht nachweisen, dass vorliegend eine anfängliche Unrichtigkeit des Domizilcodes (für die Jahre 2011 bis 2015) gegeben ist. Die entsprechenden Erklärungen auf den Formularen der Bank stammen denn auch alle aus der Zeit ab 2015 (act. 22, Beilage 5). Bis zum Jahr 2017 hatte die Beschwerdeführerin offenbar auch den Steuerstatus «resident but non domiciled» in Grossbritannien (Beschwerdeschrift, S. 3). Was dies für eine etwaige Steuerpflicht in der Republik Korea bedeutet, kann und muss nicht vom ersuchenden Staat beurteilt werden, da die Bestimmung des steuerrechtlichen Wohnsitzes in die ausschliessliche Zuständigkeit der Behörde des ersuchenden Staates fällt, wie auch die Vorinstanz zutreffend ausführt. Das Bundesgericht hat in seiner jüngsten Rechtsprechung immer wieder festgehalten, dass der Domizilcode in Listen, die von der Informationsinhaberin (hier: Bank) geführt worden waren, einen hinreichenden Anknüpfungspunkt für eine potenzielle Steuerpflicht darstellt (BGE 146 II 150 E. 6.2.5 f.; Urteil des BGer 2C_872/2022 vom 8. November 2022 E. 4.2.2 m.w.H.). Die einzige Konstellation, in der die Rechtsprechung eine Vorabwürdigung des steuerrechtlichen Wohnsitzes im Rahmen des Amtshilfeverfahrens ausnahmsweise zulässt, bedingt dass die betroffene Person in der Schweiz unbeschränkt steuerpflichtig ist (statt vieler: Urteil des BGer 2C_109/2022 vom 30. Januar 2023 E. 4.5.3). Die Beschwerdeführerin vermochte es vorliegend jedenfalls nicht, das Vorliegen eines hinreichenden Bezugspunktes (Domizilcode im Jahr 2012) urkundlich zu widerlegen. Damit liegt auch vorliegend ein genügender Anknüpfungspunkt zum ersuchenden Staat vor und die verlangten Informationen sind grundsätzlich als voraussichtlich erheblich zu beurteilen.</w:t>
      </w:r>
    </w:p>
    <w:p>
      <w:r>
        <w:rPr>
          <w:b/>
        </w:rPr>
        <w:t>E. 3.3.3</w:t>
      </w:r>
    </w:p>
    <w:p>
      <w:r>
        <w:t>Die vom NTS im Zusammenhang mit der Besteuerung der betroffenen Person ersuchten Informationen erscheinen sodann als geeignet, im ausländischen Verfahren verwendet zu werden und die Frage betreffend die Steuersituation der betroffenen Person in der Republik Korea zu klären («verify their tax evasion suspicions»). Die Übermittlung der Bankunterlagen und des Namens der betroffenen Person ermöglicht dem NTS, die Ermittlungen weiterzuführen. Dies ist für das Erfordernis der voraussichtlichen Erheblichkeit ausreichend (vgl. Urteil des BGer 2C_695/2017 vom 29. Oktober 2018 E. 5.3.2). Damit ist vorliegend in Übereinstimmung mit den Erwägungen in der Schlussverfügung der Vorinstanz die voraussichtliche Erheblichkeit von grundsätzlich sämtlichen Informationen gegeben. Entsprechend misslingt es der Beschwerdeführerin aufzuzeigen, dass ein Zusammenhang zwischen den verlangten Informationen und der Untersuchung in der Republik Korea wenig wahrscheinlich erscheint (vgl. BGE 146 II 150 E. 6.1.1 ff., 141 II 436 E. 4.4.3). Keine Rolle spielt dabei, ob sich die Informationen später tatsächlich als erheblich erweisen (E. 2.1.2 vorstehend).</w:t>
      </w:r>
    </w:p>
    <w:p>
      <w:r>
        <w:rPr>
          <w:b/>
        </w:rPr>
        <w:t>E. 3.4.1</w:t>
      </w:r>
    </w:p>
    <w:p>
      <w:r>
        <w:t>Die Beschwerdeführerin rügt im Rahmen der Begründung des Eventualantrags, mit welchem sie die Rückweisung an die Vorinstanz beantragt, eine Verletzung des rechtlichen Gehörs. Sie macht geltend, dass sie die Bankunterlagen, auf Grundlage derer der Bezug zum ersuchenden Staat hergestellt wurde (welche voraussichtlich den Eintrag des Domizilcodes beinhalten) nicht einsehen und folglich dazu auch nicht Stellung nehmen konnte. Das Abkommen sehe die Möglichkeit vor, Bankdaten zu übermitteln, weshalb solche von der Vorinstanz auch ediert werden könnten.</w:t>
      </w:r>
    </w:p>
    <w:p>
      <w:r>
        <w:rPr>
          <w:b/>
        </w:rPr>
        <w:t>E. 3.4.2</w:t>
      </w:r>
    </w:p>
    <w:p>
      <w:r>
        <w:t>Die Vorinstanz argumentiert, für die Edition von bankinternen Akten, die nicht von der Übermittlung umfasst seien, bestehe keine Rechtsgrundlage, weshalb diese nicht Teil des Amtshilfeverfahrens seien.</w:t>
      </w:r>
    </w:p>
    <w:p>
      <w:r>
        <w:rPr>
          <w:b/>
        </w:rPr>
        <w:t>E. 3.4.3</w:t>
      </w:r>
    </w:p>
    <w:p>
      <w:r>
        <w:t>Der Beschwerdeführerin wurde von der Vorinstanz Einsicht in alle Verfahrensakten gewährt (vgl. Sachverhalt Bst. A.g vorstehend). Damit ist dem Anspruch auf rechtliches Gehör, der alle Akten umfasst, welche für das jeweilige Verfahren erstellt oder beigezogen wurden, entsprochen worden (vgl. E. 2.5.2 vorstehend). Die Vorinstanz edierte bei der Bank die von der NTS ersuchten Informationen. Anspruch auf Edition weiterer Unterlagen besteht nicht. Zwar räumt Art. 15 Abs. 1 StAhiG der beschwerdeberechtigten Person neben der Akteneinsicht auch das Recht auf Abnahme liquider Beweise zur sofortigen Entkräftung der Vorwürfe ein (vgl. E. 2.5.3), davon ist aber nicht die Edition weiterer Unterlagen umfasst, was der Durchführung eines Beweisverfahrens gleichkäme. Die Beschwerdeführerin hätte die sie selbst betreffenden Akten bei ihrer Bank vielmehr selbst herausverlangen und diese der Vorinstanz zur Entkräftung vorlegen können. Da die Beschwerdeführerin jedoch selbst vermutet, dass auf den entsprechenden Bankunterlagen der südkoreanische Domizilcode oder eine südkoreanische Adresse hinterlegt ist (Beschwerdeschrift, S. 5), hat sie sich offensichtlich gegen ein Herausverlangen entschieden. Daraus kann sie keine Rechte für sich ableiten.</w:t>
      </w:r>
    </w:p>
    <w:p>
      <w:r>
        <w:rPr>
          <w:b/>
        </w:rPr>
        <w:t>E. 3.4.4</w:t>
      </w:r>
    </w:p>
    <w:p>
      <w:r>
        <w:t>Daraus folgt, dass die Vorinstanz das rechtliche Gehör nicht verletzte, indem sie auf die Edition weiterer Akten bei der Bank verzichtete. Folglich kam die Vorinstanz in ihrer Schlussverfügung vom 18. September 2023 zu Recht zum Schluss, dass die Amtshilfe vorliegend zu gewähren ist. Somit ist die vorliegende Beschwerde vollumfänglich abzuweisen.</w:t>
      </w:r>
    </w:p>
    <w:p>
      <w:r>
        <w:rPr>
          <w:b/>
        </w:rPr>
        <w:t>E. 4.1</w:t>
      </w:r>
    </w:p>
    <w:p>
      <w:r>
        <w:t>Ausgangsgemäss hat die unterliegende Beschwerdeführerin die Verfahrenskosten zu tragen (Art. 63 Abs. 1 VwVG). Diese sind auf Fr.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