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A-5670/2024 vom 7. März 2025</w:t>
      </w:r>
    </w:p>
    <w:p>
      <w:r>
        <w:t>Bundesverwaltungsgericht, 2025-03-07, DE</w:t>
      </w:r>
    </w:p>
    <w:p>
      <w:r>
        <w:rPr>
          <w:b/>
        </w:rPr>
        <w:t xml:space="preserve">Quelle: </w:t>
      </w:r>
      <w:r>
        <w:t>https://mcp.opencaselaw.ch/entscheid/bvger_A-5670_2024</w:t>
      </w:r>
    </w:p>
    <w:p>
      <w:r>
        <w:t>FR: TAF A-5670/2024 du 7 mars 2025</w:t>
      </w:r>
    </w:p>
    <w:p>
      <w:r>
        <w:t>IT: TAF A-5670/2024 del 7 marzo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9. Juli 2024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Adressatin der angefochtenen Verfügung und von dieser betroffen. Sie ist damit zur Beschwerdeerhebung berechtigt (Art. 48 Abs. 1 VwVG). Auf die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Die vorliegend zu beurteilende Sache betrifft die Steuerperioden 2016 bis 2020. Somit ist das MWSTG mitsamt der zugehörigen Mehrwertsteuerverordnung vom 27. November 2009 (MWSTV, SR 641.201) in den in den Jahren 2016 bis 2020 gültigen Fassungen (AS 2015 5339, 2016 2131, 2017 249, 2017 3575, 2017 7667, 2017 6305, 2018 5102 und AS 2019 4631) massgebend. Darauf wird referenziert, sofern nicht explizit etwas anderes angegeben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2.2.1</w:t>
      </w:r>
    </w:p>
    <w:p>
      <w:r>
        <w:t>Gemäss Art. 28 Abs. 1 Bst. a MWSTG kann die steuerpflichtige Person im Rahmen ihrer unternehmerischen Tätigkeit, unter Vorbehalt von Art. 29 und Art. 33 MWSTG, die ihr in Rechnung gestellte Inlandsteuer als Vorsteuer abziehen.</w:t>
      </w:r>
    </w:p>
    <w:p>
      <w:r>
        <w:rPr>
          <w:b/>
        </w:rPr>
        <w:t>E. 2.2.2</w:t>
      </w:r>
    </w:p>
    <w:p>
      <w:r>
        <w:t>Die Inlandsteuer gilt gemäss Art. 59 Abs. 1 MWSTV als in Rechnung gestellt, wenn der Leistungserbringen oder die Leistungserbringerin für den Leistungsempfänger oder die Leistungsempfängerin von diesem oder dieser erkennbar die Mehrwertsteuer eingefordert hat. Der Grundsatz der Beweismittelfreiheit erlaubt es der steuerpflichtigen Person, auch mit anderen Mitteln - als mit einer Rechnung - zu beweisen, dass ihr die Mehrwertsteuer in Rechnung gestellt wurde. Um der steuerpflichtigen Person die Möglichkeit des Nachweises ihres Rechts auf Vorsteuerabzug zu erleichtern, verpflichtet Art. 26 Abs. 1 MWSTG den Leistungserbringer bzw. die Leistungserbringerin dem Leistungsempfänger bzw. der Leistungsempfängerin auf Verlangen eine Rechnung auszustellen, die bestimmten Formvorschriften genügt (vgl. zum Ganzen: Urteil des BVGer A-1996/2022 vom 19. Dezember 2022 E. 5.1 m.w.H.).</w:t>
      </w:r>
    </w:p>
    <w:p>
      <w:r>
        <w:rPr>
          <w:b/>
        </w:rPr>
        <w:t>E. 2.2.3</w:t>
      </w:r>
    </w:p>
    <w:p>
      <w:r>
        <w:t>Der Abzug der Vorsteuer nach Art. 28 Abs. 1 MWSTG ist nur zulässig, wenn die steuerpflichtige Person nachweist, dass sie die Vorsteuer tatsächlich bezahlt hat (Art. 28 Abs. 3 MWSTG [Art. 28 Abs. 4 MWSTG in der bis 31. Dezember 2017 geltenden Fassung; AS 2017 3575]). Die Rechtsprechung erachtet - unter Berücksichtigung des Grundsatzes der Beweismittelfreiheit - insbesondere Buchungs- und Zahlungsbelege als taugliche Beweise hierfür (vgl. Urteil des BVGer A-1996/2022 vom 19. Dezember 2022 E. 5.2 m.w.H., bestätigt mit Urteil des BGer 9C_111/2023 vom 16. Mai 2023 E. 6). Kann die steuerpflichtige Person nicht nachweisen, dass sie die ihr in Rechnung gestellte Mehrwertsteuer bezahlt hat, ist der Abzug der entsprechenden Beträge als Vorsteuer zu verweigern (Urteil des BVGer A-1996/2022 vom 19. Dezember 2022 E. 5.2).</w:t>
      </w:r>
    </w:p>
    <w:p>
      <w:r>
        <w:rPr>
          <w:b/>
        </w:rPr>
        <w:t>E. 2.2.4</w:t>
      </w:r>
    </w:p>
    <w:p>
      <w:r>
        <w:t>Der Leistungsempfänger muss nicht prüfen, ob die Mehrwertsteuer von ihm zu Recht eingefordert wurde. Weiss er aber, dass die Person, die ihm die Mehrwertsteuer überwälzt hat, nicht als steuerpflichtige Person im MWST-Register eingetragen ist, so ist der Vorsteuerabzug ausgeschlossen (Art. 59 Abs. 2 MWSTV). Kein Anspruch auf Vorsteuerabzug besteht sodann bei Leistungen und bei der Einfuhr von Gegenständen, die für die Erbringung von Leistungen, die von der Steuer ausgenommen sind und für deren Verwendung nicht optiert wurde, verwendet werden (Art. 29 Abs. 1 MWSTG).</w:t>
      </w:r>
    </w:p>
    <w:p>
      <w:r>
        <w:rPr>
          <w:b/>
        </w:rPr>
        <w:t>E. 2.3</w:t>
      </w:r>
    </w:p>
    <w:p>
      <w:r>
        <w:t>Die Veranlagung und Entrichtung der Inlandsteuer erfolgt nach dem Selbstveranlagungsprinzip. Dies bedeutet, dass der Leistungserbringer selbst für die Feststellung der Mehrwertsteuerpflicht bzw. -forderung verantwortlich ist (vgl. BGE 140 II 202 E. 5.4; daran ändert nichts, dass neuere Bundesgerichtsentscheide von «modifizierter Selbstveranlagung» sprechen [BGE 144 I 340 E. 2.2.1 m.w.H.]; zum Ganzen: Urteil des BVGer A-5126/2020 vom 1. September 2021 E. 3.6 m.w.H.).</w:t>
      </w:r>
    </w:p>
    <w:p>
      <w:r>
        <w:rPr>
          <w:b/>
        </w:rPr>
        <w:t>E. 3.1</w:t>
      </w:r>
    </w:p>
    <w:p>
      <w:r>
        <w:t>Im vorliegenden Fall wendet sich die Beschwerdeführerin mit ihrer Beschwerde sinngemäss gegen den Einspracheentscheid der Vorinstanz vom 9. Juli 2024 und verlangt aufgrund neu eingereichter und den einzelnen Positionen zugeordneter Belege, eine Neubeurteilung des Falls. Sie argumentiert, die Rechnungen seien alle vorhanden. Ohne eine Anpassung der Vorsteuerabzüge entstünde ihr ein erheblicher Schaden und die Mehrwertsteuer würde doppelt entrichtet.</w:t>
      </w:r>
    </w:p>
    <w:p>
      <w:r>
        <w:rPr>
          <w:b/>
        </w:rPr>
        <w:t>E. 3.2</w:t>
      </w:r>
    </w:p>
    <w:p>
      <w:r>
        <w:t>Die Vorinstanz teilt in ihrer Vernehmlassung vom 1. November 2024 mit, dass sie die neu eingereichten Belege geprüft habe und zum Schluss gekommen sei, dass weitere Positionen nun gewährt werden könnten. Teilweise handle es sich allerdings nur um Teilzahlungen bzw. Abzahlungen aufgelaufener Verbindlichkeiten bei Lieferanten, wobei die Vorsteuer nur im Umfang der jeweils getätigten Bezahlung zu gewähren sei. Einige Vorsteuerbetreffnisse könnten nach wie vor nicht gewährt werden, weil die Voraussetzungen nicht erfüllt seien. Insgesamt ergäben sich Gutschriften für die Steuerperioden 2016 bis 2020 von gerundet Fr. 15'613.-, sodass die Steuerkorrektur zugunsten der ESTV gesamthaft gerundet Fr. 26'648.- betrage. Da die Beschwerdeführerin das Verfahren verschuldet habe, indem sie die Belege nicht früher eingereicht hat, habe sie die Verfahrenskosten des vorliegenden Beschwerdeverfahrens zu tragen.</w:t>
      </w:r>
    </w:p>
    <w:p>
      <w:r>
        <w:rPr>
          <w:b/>
        </w:rPr>
        <w:t>E. 3.3.1</w:t>
      </w:r>
    </w:p>
    <w:p>
      <w:r>
        <w:t>Die Beschwerdeführerin reichte diverse Belege ein, welche sie den verschiedenen Positionen der Tabelle der Vorinstanz (Beilage zum Einspracheentscheid vom 9. Juli 2024) zuordnet. Bei Durchsicht der Belege zeigt sich, dass 33 Positionen aufgrund der im Beschwerdeverfahren eingereichten Dokumente zumindest teilweise zum Vorsteuerabzug berechtigen (in der Liste aufgrund der Vernehmlassung blau markiert). Es kann auf die Ausführungen der Vorinstanz in der Vernehmlassung vom 1. November 2024 verwiesen werden. Die ESTV berücksichtigte bei ihrer Neuberechnung zurecht auch teilweise Zahlungen in WIR, soweit diese nachgewiesen wurden (Position 4). Wurde die Zahlung nicht vollständig nachgewiesen, so wurde der nachgewiesene Anteil berücksichtigt (Position 9). Bei Position 16 wurde die Rechnung im Jahr 2017 für einen Leistungsbezug im Jahr 2017 ausgestellt. Bei der Verbuchung der Zahlung und Berücksichtigung der Vorsteuer im Jahr 2018 wurde als Vorsteuer jedoch lediglich der Steuersatz von 7.7 % (gültig erst ab 1. Januar 2018) anstatt 8 % vom Bruttobetrag als Vorsteuer verbucht. Zurecht hat die Vorinstanz bloss den in der Rechnung ausgewiesenen Betrag berücksichtigt.</w:t>
      </w:r>
    </w:p>
    <w:p>
      <w:r>
        <w:rPr>
          <w:b/>
        </w:rPr>
        <w:t>E. 3.3.2</w:t>
      </w:r>
    </w:p>
    <w:p>
      <w:r>
        <w:t>Sieben Positionen können hingegen vollumfänglich nicht zugelassen werden (in der Liste aufgrund der Vernehmlassung orange markiert). Bei Position 1 ist bei den Bemerkungen der Beschwerdeführerin festgehalten, dass die Bezahlung privat von Angehörigen erfolgt sei, sodass diesbezüglich die Voraussetzung der Bezahlung durch die steuerpflichtige Person nicht erfüllt ist. Bei Position 2, Position 6 (der Hauptliste) und Position 6 der zweiten Liste mit nicht zugeordneten Belegen enthalten die eingereichten Dokumente keinen Steuerausweis und es liegen auch keine elektronischen Veranlagungsverfügungen des Bundesamtes für Zoll und Grenzsicherheit (BAZG) betreffend die Einfuhrsteuer vor. Bei Position 19 lautet die Rechnung auf eine andere Person, die Beschwerdeführerin wird lediglich handschriftlich aufgeführt. Bei Position 10 auf der zweiten Liste mit nicht zugeordneten Belegen wurde kein Mehrwertsteuerbetrag ausgewiesen, weshalb auch bei dieser Position keine Gewährung erfolgen kann. Bei Position 1 auf der zweiten Liste mit nicht zugeordneten Belegen ist auf der Rechnung ein Rechnungsdatum (inkl. handschriftlichem «bezahlt»-Vermerk für einen Teil des Betrags) vom 13. August 2015 ersichtlich. Dieser Zeitpunkt liegt ausserhalb der beurteilten Steuerperiode und bildet daher vorliegend nicht Streitgegenstand. Dass später noch eine Teilzahlung erfolgte, wies die Beschwerdeführerin nicht nach, weshalb diese Position vorliegend nicht berücksichtigt werden kann. Diese Positionen hat die ESTV folglich aufgrund fehlender Vorsteuerbelege zurecht verweigert.</w:t>
      </w:r>
    </w:p>
    <w:p>
      <w:r>
        <w:rPr>
          <w:b/>
        </w:rPr>
        <w:t>E. 3.3.3</w:t>
      </w:r>
    </w:p>
    <w:p>
      <w:r>
        <w:t>Ebenfalls zurecht verweigert wurden die bereits im Einspracheentscheid vom 9. Juli 2024 nicht gewährten Positionen (in der Liste rot markiert). Diesbezüglich finden sich keine oder keine genügenden Belege in den vorinstanzlichen Akten und auch im Rahmen des Beschwerdeverfahrens wurden diesbezüglich keine neuen Belege eingereicht.</w:t>
      </w:r>
    </w:p>
    <w:p>
      <w:r>
        <w:rPr>
          <w:b/>
        </w:rPr>
        <w:t>E. 3.3.4</w:t>
      </w:r>
    </w:p>
    <w:p>
      <w:r>
        <w:t>Zudem bestritt die Beschwerdeführerin die neue Einschätzung der Vorinstanz aufgrund der neu eingereichten Belege gemäss ihrer Vernehmlassung vom 1. November 2024 nicht weiter und reichte auch keine weitere Eingabe ein. Die neue Berechnung der ESTV ist deshalb, unter Berücksichtigung der vorgenommenen Prüfung, zu bestätigen. Letztlich räumt auch die Beschwerdeführerin selbst ein, dass gewisse Fehler in der Buchhaltung vorliegen, führt sie doch in der Beschwerde aus, ihr sei nicht bekannt, weshalb teilweise Differenzen im Mehrwertsteuerbetrag vorkommen.</w:t>
      </w:r>
    </w:p>
    <w:p>
      <w:r>
        <w:rPr>
          <w:b/>
        </w:rPr>
        <w:t>E. 3.4</w:t>
      </w:r>
    </w:p>
    <w:p>
      <w:r>
        <w:t>Zusammenfassend ergibt sich, dass die Ausführungen der Vorinstanz in ihrer Vernehmlassung vom 1. November 2024 überzeugen und die von der Beschwerdeführerin im Rahmen der Beschwerde eingereichten Unterlagen zu weiteren Vorsteuerabzügen berechtigen. Allerdings fehlen nach wie vor teilweise (gültige) Belege für einige Positionen und teilweise erlauben die Belege - wie dargelegt - keine oder keine vollständige Berücksichtigung. Entsprechend sind die im Rahmen der Beschwerde vorzunehmenden Gutschriften des Vorsteuerabzugs auf Fr. 15'613.- festzusetzen (Fr. 2'860.- für 2016, Fr. 10'666.- für 2017, Fr. 798.- für 2018 und Fr. 1'289.- für 2019). Dies resultiert in einer Steuerkorrektur zugunsten der Vorinstanz von Fr. 26'648.- (anstatt Fr. 42'261.- gemäss dem angefochtenen Entscheid). Die Beschwerdeführerin obsiegt mithin im Umfang von Fr. 15'613.-. Im Übrigen ist die Beschwerde abzuweisen.</w:t>
      </w:r>
    </w:p>
    <w:p>
      <w:r>
        <w:rPr>
          <w:b/>
        </w:rPr>
        <w:t>E. 4.1</w:t>
      </w:r>
    </w:p>
    <w:p>
      <w:r>
        <w:t>Das Bundesverwaltungsgericht auferlegt die Verfahrenskosten in der Regel der unterliegenden Partei (Art. 63 Abs. 1 VwVG). Keine Verfahrens-kosten zu tragen haben Vorinstanzen sowie beschwerdeführende und unterliegende Bundesbehörden (Art. 63 Abs. 2 VwVG). Einer obsiegenden Partei dürfen nur Verfahrenskosten auferlegt werden, die sie durch Verletzung von Verfahrenspflichten verursacht hat (Art. 63 Abs. 3 VwVG). Dabei muss als unnötigerweise verursacht ein Verfahren namentlich dann gelten, wenn die Beschwerdeführerin ihren Mitwirkungspflichten nicht nachgekommen ist und beispielsweise Beweismittel zu spät eingereicht hat (vgl. Urteil des BVGer A-6822/2016 vom 6. Juli 2017 E. 6.1; Michael Beusch, in: Auer/Müller/Schindler [Hrsg.], Kommentar VwVG, 2. Aufl. 2019, Art. 63 Rz. 20).</w:t>
      </w:r>
    </w:p>
    <w:p>
      <w:r>
        <w:rPr>
          <w:b/>
        </w:rPr>
        <w:t>E. 4.2</w:t>
      </w:r>
    </w:p>
    <w:p>
      <w:r>
        <w:t>Die Beschwerdeführerin wurde von der ESTV im vorinstanzlichen Verfahren mehrmals aufgefordert, die entsprechenden Vorsteuerbelege einzureichen. Indem die Beschwerdeführerin erst im vorliegenden Beschwerdeverfahren weitere relevante Akten für die Überprüfung der Vorsteuerabzüge eingereicht hat, hat sie im vorinstanzlichen Verfahren ihre Mitwirkungspflichten verletzt. Die Begründung, weshalb sie die geforderten Unterlagen nicht bereits vor Vorinstanz einreichte, sind nicht stichhaltig. Die längere Zeit seit der Rechnungstellung und das Ableben des Buchhalters stellen organisatorische Aspekte dar, welche zwar durchaus nachvollziehbar erscheinen lassen, dass die Beschaffung der Belege mit grösserem Aufwand verbunden war. Diese Gründe genügen aber nicht, um eine rechtzeitige Beibringung unzumutbar erscheinen zu lassen. Analoges gilt für die Umstellungen der Computersysteme bei den Lieferanten. Im Weiteren hat die Beschwerdeführerin den behaupteten Wasserschaden in ihrem Büro weder hinsichtlich des tatsächlichen Eintritts noch der Folgen nachgewiesen. Daraus ergibt sich, dass es trotz der teilweisen Gutheissung der Beschwerde vorliegend gerechtfertigt ist, der Beschwerdeführerin die vollen Verfahrenskosten im Umfang von Fr. 3'500.- aufzuerlegen. Diese werden mit dem geleisteten Kostenvorschuss in gleicher Höhe verrechnet.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