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A-5662/2020 vom 10. Mai 2021</w:t>
      </w:r>
    </w:p>
    <w:p>
      <w:r>
        <w:t>Bundesverwaltungsgericht, 2021-05-10, FR</w:t>
      </w:r>
    </w:p>
    <w:p>
      <w:r>
        <w:rPr>
          <w:b/>
        </w:rPr>
        <w:t xml:space="preserve">Quelle: </w:t>
      </w:r>
      <w:r>
        <w:t>https://mcp.opencaselaw.ch/entscheid/bvger_A-5662_2020</w:t>
      </w:r>
    </w:p>
    <w:p>
      <w:r>
        <w:t>FR: TAF A-5662/2020 du 10 mai 2021</w:t>
      </w:r>
    </w:p>
    <w:p>
      <w:r>
        <w:t>IT: TAF A-5662/2020 del 10 maggio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informations le concernant ne rempliraient pas la condition de la pertinence vraisemblable dès lors qu'il n'aurait pas été fiscalement domicilié en France durant la période visée, mais au Mexique. Selon lui, les pièces qu'il aurait versées au dossier (notamment une attestation du Consulat Général de France à Mexico, son passeport ainsi que ses contrats de bail à Mexico) démontreraient que son domicile aurait changé entre 2006/2008, années des données sur lesquelles reposent la demande litigieuse, et 2010, soit la première année de la période sous contrôle. Il en conclut que cette preuve par pièces démontrerait que la condition de la pertinence vraisemblable des informations requises ne serait pas remplie dans le cas d'espèce, ceci bien qu'il figurait avec un code domicile français (« 111 ») dans les livres de la banque UBS durant les années 2006 et 2008.</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4.3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derrière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w:t>
      </w:r>
    </w:p>
    <w:p>
      <w:r>
        <w:rPr>
          <w:b/>
        </w:rPr>
        <w:t>E. 5.1.4</w:t>
      </w:r>
    </w:p>
    <w:p>
      <w:r>
        <w:t>Par surabondance de moyens, la Cour de céans relève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les informations requises ne seraient pas vraisemblablement pertinentes quel qu'ait été son domicile fiscal entendu au sens international matériel pour les années 2006 et 2008. 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les données sur lesquelles se base la présente demande auraient été acquises grâce à un acte punissable au regard du droit suisse, à savoir l'achat illégal par le Land allemand de Rhénanie du Nord-Westphalie d'un CD de données. Selon lui,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5.2.3.3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en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En dernier lieu, le recourant avance que les art. 26, 27 et 28 PA auraient été violés dès lors qu'il n'aurait pas eu accès à toutes les pièces sur lesquelles l'AFC se serait fondée pour rendre la décision attaquée. Le recourant invoque plus précisément qu'il n'aurait pas eu accès à la déclaration des autorités fiscales allemandes faite dans le cadre d'une procédure d'assistance administrative parallèle, à la déclaration soumise par la banque UBS dans le cadre de la procédure diligentée par le Ministère public de la Confédération ainsi qu'au mandat de perquisition délivré par le parquet de Bochum le 13 juillet 2013 [recte : 3 juillet 2013] qui a été fourni par la banque UBS dans le cadre de la présente procédure (cf. Décision finale de l'AFC, ch. 6.4 et consid. 5.2.2 supra pour la retranscription de ladite décision finale). Selon lui, ces pièces auraient été utilisées à son détriment dès lors que ce serait sur leur base que l'AFC aurait retenu que l'art. 7 let. c LAAF n'était pas violé dans le cas d'espèce et que la demande française devait ainsi être admise.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et contrairement à ce qu'invoque le recourant, il apparaît que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ne sont pas déterminants dans le cas d'espèce pour considérer que la présente requête ne se fonde pas sur des données volées (cf. consid. 5.2.3.2 ci-dessus). Dans ces circonstances, il y a lieu de considérer que le contenu exact de ces pièces n'a aucune incidence sur l'évaluation des conditions matérielles de la requête, de sorte que la Cour de céans ne saurait retenir qu'elles ont été utilisées au détriment du recourant en violation de l'art. 28 PA.</w:t>
      </w:r>
    </w:p>
    <w:p>
      <w:r>
        <w:rPr>
          <w:b/>
        </w:rPr>
        <w:t>E. 5.3.4</w:t>
      </w:r>
    </w:p>
    <w:p>
      <w:r>
        <w:t>De surcroît,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de céans ne saurait considérer que les art. 26, 27 et 28 PA auraient été violés, de sorte que le dernier grief du recourant doit être rejeté.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