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A-5641/2020 vom 11. November 2021</w:t>
      </w:r>
    </w:p>
    <w:p>
      <w:r>
        <w:t>Bundesverwaltungsgericht, 2021-11-11, FR</w:t>
      </w:r>
    </w:p>
    <w:p>
      <w:r>
        <w:rPr>
          <w:b/>
        </w:rPr>
        <w:t xml:space="preserve">Quelle: </w:t>
      </w:r>
      <w:r>
        <w:t>https://mcp.opencaselaw.ch/entscheid/bvger_A-5641_2020</w:t>
      </w:r>
    </w:p>
    <w:p>
      <w:r>
        <w:t>FR: TAF A-5641/2020 du 11 novembre 2021</w:t>
      </w:r>
    </w:p>
    <w:p>
      <w:r>
        <w:t>IT: TAF A-5641/2020 del 11 novembre 2021</w:t>
      </w:r>
    </w:p>
    <w:p>
      <w:pPr>
        <w:pStyle w:val="Heading2"/>
      </w:pPr>
      <w:r>
        <w:t>Regeste</w:t>
      </w:r>
    </w:p>
    <w:p>
      <w:r>
        <w:t>Assistance administrative</w:t>
      </w:r>
    </w:p>
    <w:p>
      <w:pPr>
        <w:pStyle w:val="Heading2"/>
      </w:pPr>
      <w:r>
        <w:t>Erwägungen</w:t>
      </w:r>
    </w:p>
    <w:p>
      <w:r>
        <w:rPr>
          <w:b/>
        </w:rPr>
        <w:t>E. 5.1.1</w:t>
      </w:r>
    </w:p>
    <w:p>
      <w:r>
        <w:t>Pour ce qui est des conditions de fond, les recourantes estiment en premier lieu que la demande du 11 mai 2016 constituerait une pêche aux renseignements proscrite et en particulier qu'un « élément central » aurait échappé au Tribunal fédéral (Recours, ch. 22).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les recourantes, une des conditions de l'assistance internationale en matière fiscale pour les demandes de liste.</w:t>
      </w:r>
    </w:p>
    <w:p>
      <w:r>
        <w:rPr>
          <w:b/>
        </w:rPr>
        <w:t>E. 5.1.2</w:t>
      </w:r>
    </w:p>
    <w:p>
      <w:r>
        <w:t>En l'occurrence, dans l'ATF 146 II 150, le Tribunal fédéral a jugé d'une manière qui lie la Cour de céans (cf.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recourantes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les recourantes doit être rejeté.</w:t>
      </w:r>
    </w:p>
    <w:p>
      <w:r>
        <w:rPr>
          <w:b/>
        </w:rPr>
        <w:t>E. 5.1.4</w:t>
      </w:r>
    </w:p>
    <w:p>
      <w:r>
        <w:t>A l'appui de leur moyen, les recourantes soutiennent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1.4.3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34 ss), les recourantes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recourantes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elles,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les recourantes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qu'elles se fondent sur l'arrêt rendu le 15 septembre 2015 (A-6843/2014), les recourantes ne sauraient être suivies dès lors que cette décision a été annulée par le Tribunal fédéral par arrêt du 16 février 2017 (ATF 143 II 202). Par conséquent, les larges arguments que les recourantes tirent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recourantes.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recourantes,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recourantes ne le soutiennent à juste titre pas.</w:t>
      </w:r>
    </w:p>
    <w:p>
      <w:r>
        <w:rPr>
          <w:b/>
        </w:rPr>
        <w:t>E. 5.2.3.2</w:t>
      </w:r>
    </w:p>
    <w:p>
      <w:r>
        <w:t>Quant à l'existence d'un lien de causalité entre les données prétendument volées et la demande d'assistance administrative dont se prévalent les recourantes,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les recourantes n'invoquent au demeurant pas. Partant, le grief des recourantes doit être rejeté.</w:t>
      </w:r>
    </w:p>
    <w:p>
      <w:r>
        <w:rPr>
          <w:b/>
        </w:rPr>
        <w:t>E. 5.3.1</w:t>
      </w:r>
    </w:p>
    <w:p>
      <w:r>
        <w:t>A la suite de ce qui précède, il sied encore d'examiner la conclusion des recourantes tendant à ce qu'il soit ordonné à l'AFC de produire les pièces mentionnées dans la décision attaquée auxquelles elles n'auraient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qu'invoquent les recourantes,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recourantes. Dans ces circonstances, il y a lieu de rejeter la conclusion des recourantes tendant à la production desdites pièces par l'AFC.</w:t>
      </w:r>
    </w:p>
    <w:p>
      <w:r>
        <w:rPr>
          <w:b/>
        </w:rPr>
        <w:t>E. 6</w:t>
      </w:r>
    </w:p>
    <w:p>
      <w:r>
        <w:t>En dernier lieu, les recourantes font grief à la décision attaquée de ne pas avoir « discuté la question d'un éventuel abus de droit dans sa qualification de la demande française », alors que les recourantes l'avaient relevé dans leurs observations. Elles invoquent une violation de leur droit d'être entendues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les recourantes invoquent une violation de leur droit d'être entendues au motif que l'autorité inférieure ne se serait pas prononcée sur les arguments qu'elles auraient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des recourantes en lien avec l'abus de droit n'est pas traité, il n'en reste pas moins que la décision attaquée, au long de ses quelques 36 pages, permet sans aucun doute de comprendre que l'autorité inférieure rejette l'argument des recourantes qui voient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32). Au final, force est de constater que, nonobstant la reprise de paragraphes standardisés - qui paraît du reste justifiée dans le cadre d'une administration rendant des décisions de masse -, l'argumentation juridique exposée par l'autorité inférieure a permis aux recourantes de saisir les raisons pour lesquelles cette administration avait considéré que les arguments avancés n'étaient pas déterminants. Tel est ainsi le cas en particulier s'agissant de leur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les recourantes saisissent la portée de celle-ci et puissent l'attaquer en toute connaissance de cause, ce qu'elles ont du reste fait. En effet, le Tribunal de céans en veut pour preuve le mémoire de recours des recourantes duquel il ressort que celles-ci ont parfaitement saisi les arguments de l'autorité inférieure. La Cour relève au surplus que les recourantes ont pu faire valoir devant elle l'entier de leurs arguments. Dans ces circonstances et au vu du plein pouvoir d'examen du Tribunal de céans (cf. consid. 1.4.2 et 1.4.3 supra), il y aurait de toute façon lieu de considérer qu'une violation éventuelle du droit d'être entendu des recourantes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recourantes,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