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A-5640/2020 vom 11. November 2021</w:t>
      </w:r>
    </w:p>
    <w:p>
      <w:r>
        <w:t>Bundesverwaltungsgericht, 2021-11-11, FR</w:t>
      </w:r>
    </w:p>
    <w:p>
      <w:r>
        <w:rPr>
          <w:b/>
        </w:rPr>
        <w:t xml:space="preserve">Quelle: </w:t>
      </w:r>
      <w:r>
        <w:t>https://mcp.opencaselaw.ch/entscheid/bvger_A-5640_2020</w:t>
      </w:r>
    </w:p>
    <w:p>
      <w:r>
        <w:t>FR: TAF A-5640/2020 du 11 novembre 2021</w:t>
      </w:r>
    </w:p>
    <w:p>
      <w:r>
        <w:t>IT: TAF A-5640/2020 del 11 novembre 2021</w:t>
      </w:r>
    </w:p>
    <w:p>
      <w:pPr>
        <w:pStyle w:val="Heading2"/>
      </w:pPr>
      <w:r>
        <w:t>Regeste</w:t>
      </w:r>
    </w:p>
    <w:p>
      <w:r>
        <w:t>Assistance administrative</w:t>
      </w:r>
    </w:p>
    <w:p>
      <w:pPr>
        <w:pStyle w:val="Heading2"/>
      </w:pPr>
      <w:r>
        <w:t>Erwägungen</w:t>
      </w:r>
    </w:p>
    <w:p>
      <w:r>
        <w:rPr>
          <w:b/>
        </w:rPr>
        <w:t>E. 5.1.1</w:t>
      </w:r>
    </w:p>
    <w:p>
      <w:r>
        <w:t>Pour ce qui est des conditions de fond, la recourante 1 estime en premier lieu que la demande du 11 mai 2016 constituerait une pêche aux renseignements proscrite et en particulier qu'un « élément central » aurait échappé au Tribunal fédéral (Recours, ch. 23). Ainsi, il ressortirait de la demande que l'analyse de la DGFiP aurait permis de déterminer que 10% des noms correspondaient à des résidents français, mais que toutefois « à aucun moment, la DGFiP n'indique que les contribuables identifiés dans ces deux listes ont violé le droit fiscal ». Il manquerait ainsi, toujours selon la recourante 1, une des conditions de l'assistance internationale en matière fiscale pour les demandes de liste.</w:t>
      </w:r>
    </w:p>
    <w:p>
      <w:r>
        <w:rPr>
          <w:b/>
        </w:rPr>
        <w:t>E. 5.1.2</w:t>
      </w:r>
    </w:p>
    <w:p>
      <w:r>
        <w:t>En l'occurrence, dans l'ATF 146 II 150, le Tribunal fédéral a jugé d'une manière qui lie la Cour de céans (cf. ci-avant consid. 1.5.3)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(cf.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1 ne permettent pas de conclure que la demande litigieuse constituerait une « fishing expedition »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précité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précités consid. 5.1.3 [le TF a déclaré irrecevables les recours déposés contre ces décisions : 2C_320/2021 précité]). Au vu de tout ce qui précède, le grief invoqué par la recourante 1 doit être rejeté.</w:t>
      </w:r>
    </w:p>
    <w:p>
      <w:r>
        <w:rPr>
          <w:b/>
        </w:rPr>
        <w:t>E. 5.1.4</w:t>
      </w:r>
    </w:p>
    <w:p>
      <w:r>
        <w:t>A l'appui de son moyen, la recourante 1 soutient qu'il y a lieu de demander à l'autorité inférieure d'obtenir des « données à jours de la DGFiP, afin de déterminer si l'analyse des listes "A", "B" et "C" permet encore aujourd'hui de faire peser un soupçon global sur les cas de la liste "B" et "C" ». Or, dès lors que la Cour de céans est liée par l'arrêt rendu sur ce point par le Tribunal fédéral (cf. supra consid. 1.5.3 et surtout ci-dessus consid. 5.1.3), et ne saurait remettre en cause l'admissibilité de la demande de l'Etat français au motif qu'il s'agirait d'une « fishing expedition », il n'est pas déterminant d'obtenir les informations requises.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4.1et 140 I 285 consid. 6.3.1 et les références). Tel est bien le cas en l'espèce, puisque les informations requises ne permettraient pas de modifier l'appréciation de la Cour de céans.</w:t>
      </w:r>
    </w:p>
    <w:p>
      <w:r>
        <w:rPr>
          <w:b/>
        </w:rPr>
        <w:t>E. 5.2.1</w:t>
      </w:r>
    </w:p>
    <w:p>
      <w:r>
        <w:t>Au moyen d'un deuxième grief (Recours, ch. 35 ss), la recourante 1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la recourante 1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la recourante 1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 Au préalable, le Tribunal souligne qu'en tant qu'elle se fonde sur l'arrêt rendu le 15 septembre 2015 (A-6843/2014), la recourante 1 ne saurait être suivie dès lors que cette décision a été annulée par le Tribunal fédéral par arrêt du 16 février 2017 (ATF 143 II 202). Par conséquent, les larges arguments que la recourante 1 tire de cette jurisprudence n'ont aucune valeur de précédent.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1.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précité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1,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DFF consultable à l'adresse internet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1 ne le soutient à juste titre pas.</w:t>
      </w:r>
    </w:p>
    <w:p>
      <w:r>
        <w:rPr>
          <w:b/>
        </w:rPr>
        <w:t>E. 5.2.3.2</w:t>
      </w:r>
    </w:p>
    <w:p>
      <w:r>
        <w:t>Quant à l'existence d'un lien de causalité entre les données prétendument volées et la demande d'assistance administrative dont se prévaut la recourante 1,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2C_320/2021 précité] ainsi que A-1534/2018, A-1555/2018, A-1562/2018 et A-1563/2018 précités consid. 3.6 ; let. A.b et 5.2.2 supra). Au surplus, force est de constater que l'autorité requérante ne peut être considérée comme ayant acheté des données acquises illégalement au regard du droit suisse pour fonder sa demande (cf. consid. 5.2.3 supra), ce que la recourante 1 n'invoque au demeurant pas. Partant, le grief de la recourante 1 doit être rejeté.</w:t>
      </w:r>
    </w:p>
    <w:p>
      <w:r>
        <w:rPr>
          <w:b/>
        </w:rPr>
        <w:t>E. 5.3.1</w:t>
      </w:r>
    </w:p>
    <w:p>
      <w:r>
        <w:t>A la suite de ce qui précède, il sied encore d'examiner la conclusion de la recourante 1 tendant à ce qu'il soit ordonné à l'AFC de produire les pièces mentionnées dans la décision attaquée auxquelles elle n'aurait pas eu accès, à savoir la déclaration des autorités fiscales allemandes dans le cadre d'une procédure d'assistance administrative parallèle en cours et le mandat de perquisition émis par le parquet de Bochum le 3 juillet 2013 (cf. let. G.a supra).</w:t>
      </w:r>
    </w:p>
    <w:p>
      <w:r>
        <w:rPr>
          <w:b/>
        </w:rPr>
        <w:t>E. 5.3.2</w:t>
      </w:r>
    </w:p>
    <w:p>
      <w:r>
        <w:t>L'art. 29 al. 2 de la Constitution fédérale de la Confédération suisse du 18 avril 1999 (Cst., RS 101)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(cf. arrêt du TF 2C_1042/2016 du 12 juin 2018 consid. 3.3 ;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(cf. arrêt du TF 2C_1042/2016 précité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(cf. arrêt du TF 2C_609/2015, 2C_610/2015 du 5 novembre 2015 consid. 4.1 ; arrêt du TAF A-5541/2014 du 31 mai 2016 consid. 3.1.3).</w:t>
      </w:r>
    </w:p>
    <w:p>
      <w:r>
        <w:rPr>
          <w:b/>
        </w:rPr>
        <w:t>E. 5.3.3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 la recourante 1,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Dans ces circonstances, il y a lieu de rejeter la conclusion de la recourante 1 tendant à la production desdites pièces par l'AFC.</w:t>
      </w:r>
    </w:p>
    <w:p>
      <w:r>
        <w:rPr>
          <w:b/>
        </w:rPr>
        <w:t>E. 6</w:t>
      </w:r>
    </w:p>
    <w:p>
      <w:r>
        <w:t>En dernier lieu, la recourante 1 fait grief à la décision attaquée de ne pas avoir « discuté la question d'un éventuel abus de droit dans sa qualification de la demande française », alors que la recourante 1 l'avait relevé dans ses observations. Elle invoque une violation de son droit d'être entendue à cet égard.</w:t>
      </w:r>
    </w:p>
    <w:p>
      <w:r>
        <w:rPr>
          <w:b/>
        </w:rPr>
        <w:t>E. 6.1</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(cf.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(cf. ATF 137 II 266 consid. 3.2, 136 I 229 consid. 5.2 ; arrêt du TF 2C_950/2012 du 8 août 2013 consid. 3.5 ; arrêt du TAF A-5228/2016 du 25 avril 2017 consid. 3.2.1). L'obligation pour l'autorité de motiver sa décision, rappelée à l'art. 35 al. 1 PA (cf. arrêt du TAF A-1635/2015 du 11 avril 2016 consid. 4), vise aussi à permettre à l'autorité de recours d'exercer son contrôle (cf. arrêt du TF 5A_315/2016 du 7 février 2017 consid. 7.1 ; arrêt du TAF A-4987/2017 du 20 février 2018 consid. 1.3). 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(cf. ATF 141 I 60 consid. 3.3, 136 I 229 consid. 5.3 ; arrêts du TAF A-2421/2016 du 3 octobre 2017 consid. 3.1 et A-4089/2015 du 18 novembre 2016 consid. 5.2.2.3 [rendu dans le domaine de l'approbation des plans et confirmé par le TF par arrêt 1C_32/2017 du 6 mars 2018]). 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(cf. arrêt du TAF A-3035/2020 du 17 mars 2021 consid. 3.3).</w:t>
      </w:r>
    </w:p>
    <w:p>
      <w:r>
        <w:rPr>
          <w:b/>
        </w:rPr>
        <w:t>E. 6.2</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A-769/2017 précité consid. 1.5.3, A-5647/2017 du 2 août 2018 consid. 1.5.2 [le TF a refusé d'entrer en matière sur le recours par décision du 27 août 2018 (2C_672/2018)] et A-4572/2015 du 9 mars 2017 consid. 4.1 [le TF a refusé d'entrer en matière sur le recours par décision du 10 avril 2017 (2C_323/2017)]).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non publié in ATF 144 IV 135 et 2C_32/2017 du 22 décembre 2017 consid. 2.3 ; arrêts du TAF A-5647/2017 précité consid. 1.5.3, A-2523/2015 précité consid. 3.3).</w:t>
      </w:r>
    </w:p>
    <w:p>
      <w:r>
        <w:rPr>
          <w:b/>
        </w:rPr>
        <w:t>E. 6.3</w:t>
      </w:r>
    </w:p>
    <w:p>
      <w:r>
        <w:t>En l'occurrence, comme mentionné ci-avant, la recourante 1 invoque une violation de son droit d'être entendue au motif que l'autorité inférieure ne se serait pas prononcée sur les arguments qu'elle aurait avancés en relation avec l'abus de droit. L'AFC se serait ainsi contentée d'exposer, dans sa décision finale, la théorie générale relative au domicile fiscal en matière d'assistance administrative. Certes, il est vrai que dans la décision litigieuse, l'AFC expose de manière standardisée - sans se référer explicitement à la prise de position de la recourante 1 - les raisons pour lesquelles elle considère que la demande ne constitue pas une « fishing expedition ». Toutefois, la Cour de céans a eu l'occasion de juger que cette standardisation n'entrainait pas ipso facto une violation du droit d'être entendu des parties à la procédure (cf. arrêt du TAF A-5662/2020 du 10 mai 2021 [le TF a déclaré irrecevable le recours déposé à l'encontre de cet arrêt, le 2 juin 2021, 2C_435/2021]). En l'occurrence, on relèvera que si, spécifiquement, l'argument de la recourante 1 en lien avec l'abus de droit n'est pas traité, il n'en reste pas moins que la décision attaquée, au long de ses quelques 36 pages, permet sans aucun doute de comprendre que l'autorité inférieure rejette l'argument de la recourante 1 qui voit un abus de droit dans le fait que l'AFC « reprenant la critiquable jurisprudence du Tribunal fédéral 146 II 150, se sert d'un mécanisme avantageux appartenant à une construction juridique quand cela lui convient, puis d'un mécanisme avantageux appartenant à une autre construction juridique quand ce dernier lui est plus favorable » (Recours, ch. 33). Au final, force est de constater que, nonobstant la reprise de paragraphes standardisés - qui paraît du reste justifiée dans le cadre d'une administration rendant des décisions de masse -, l'argumentation juridique exposée par l'autorité inférieure a permis à la recourante 1 de saisir les raisons pour lesquelles cette administration avait considéré que les arguments avancés n'étaient pas déterminants. Tel est ainsi le cas en particulier s'agissant de son moyen tendant à faire valoir l'abus de droit. L'autorité inférieure a en outre expliqué pourquoi, à son avis, le suffixe 111 désignant un domicile en France dans les listes de la banque UBS permettait de fonder la pertinence vraisemblable des renseignements demandés. Elle a également indiqué les motifs pour lesquels le code de domicile précité pouvait être considéré comme fiable. Dans ces circonstances, il apparaît que la décision attaquée était suffisamment motivée pour que la recourante 1 saisisse la portée de celle-ci et puisse l'attaquer en toute connaissance de cause, ce qu'elle a du reste fait. En effet, le Tribunal de céans en veut pour preuve le mémoire de recours de la recourante 1 duquel il ressort que celle-ci a parfaitement saisi les arguments de l'autorité inférieure. La Cour relève au surplus que la recourante 1 a pu faire valoir devant elle l'entier de ses arguments. Dans ces circonstances et au vu du plein pouvoir d'examen du Tribunal de céans (cf. consid. 1.5.2 et 1.5.3 supra), il y aurait de toute façon lieu de considérer qu'une violation éventuelle du droit d'être entendu de la recourante 1 liée à la standardisation de la décision - qui n'est du reste pas constatée dans le cas d'espèce - aurait été réparée devant le Tribunal de céans. Au vu de tout ce qui précède, le grief tiré de la violation du droit d'être entendu doit être rejeté.</w:t>
      </w:r>
    </w:p>
    <w:p>
      <w:r>
        <w:rPr>
          <w:b/>
        </w:rPr>
        <w:t>E. 7.1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