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A-5610/2020 vom 8. März 2022</w:t>
      </w:r>
    </w:p>
    <w:p>
      <w:r>
        <w:t>Bundesverwaltungsgericht, 2022-03-08, FR</w:t>
      </w:r>
    </w:p>
    <w:p>
      <w:r>
        <w:rPr>
          <w:b/>
        </w:rPr>
        <w:t xml:space="preserve">Quelle: </w:t>
      </w:r>
      <w:r>
        <w:t>https://mcp.opencaselaw.ch/entscheid/bvger_A-5610_2020</w:t>
      </w:r>
    </w:p>
    <w:p>
      <w:r>
        <w:t>FR: TAF A-5610/2020 du 8 mars 2022</w:t>
      </w:r>
    </w:p>
    <w:p>
      <w:r>
        <w:t>IT: TAF A-5610/2020 del 8 marzo 2022</w:t>
      </w:r>
    </w:p>
    <w:p>
      <w:pPr>
        <w:pStyle w:val="Heading2"/>
      </w:pPr>
      <w:r>
        <w:t>Regeste</w:t>
      </w:r>
    </w:p>
    <w:p>
      <w:r>
        <w:t>Assistance administrative</w:t>
      </w:r>
    </w:p>
    <w:p>
      <w:pPr>
        <w:pStyle w:val="Heading2"/>
      </w:pPr>
      <w:r>
        <w:t>Erwägungen</w:t>
      </w:r>
    </w:p>
    <w:p>
      <w:r>
        <w:rPr>
          <w:b/>
        </w:rPr>
        <w:t>E. 5.1</w:t>
      </w:r>
    </w:p>
    <w:p>
      <w:r>
        <w:t>Dans un premier grief, le recourant avance que, dans le cas d'espèce, il y aurait eu une absence de consentement à la transmission des données à un Etat tiers en violation de l'art. 20 al. 3 LAAF et de l'art. 28 par. 3 CDI CH-FR. Il souligne en particulier que ce sont les autorités allemandes qui auraient transféré aux autorités françaises les informations leur ayant permis de requérir l'entraide administrative [recte : l'assistance administrative] de la Suisse et que l'Allemagne n'aurait jamais demandé à la Suisse l'autorisation de transmettre ces données à la France, de sorte que la violation de l'art. 20 al. 3 LAAF ne pourrait avoir pour conséquence que le refus d'accorder l'entraide [recte : l'assistance administrative] à la France. En vertu de l'art. 20 al. 3 LAAF,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Lorsque les renseignements obtenus sont destinés à être transmis à des autorités pénales, l'AFC les donne en accord avec l'Office fédéral de la justice. Au vu du libellé de l'art. 20 al. 3 LAAF, la Cour de céans relève que le recourant se méprend sur le sens de ladite disposition. En effet, il ne peut être reproché à l'Allemagne - sur la base d'une disposition de droit interne suisse - de n'avoir jamais demandé à la Suisse l'autorisation de transmettre à la France les données ayant permis de déposer la requête litigieuse. Cette disposition ne peut viser que les informations que l'AFC a elle-même récoltées et qu'elle envisagerait de transmettre - ou aurait déjà transmises - à l'Etat les ayant requises, ce qui n'est pas la situation visée en l'espèce. Par surabondance de moyens, le Tribunal relève qu'il ne ressort pas du dossier que la Suisse entend violer l'art. 20 al. 3 LAAF ainsi que l'art. 28 par. 3 CDI CH-FR en transmettant les informations requises puisqu'en l'occurrence, les renseignements recueillis sont destinés à une autorité fiscale française. En outre, la décision entreprise limite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querellée). Il découle de ce qui précède que le grief du recourant est mal fondé et qu'il doit par conséquent être rejeté.</w:t>
      </w:r>
    </w:p>
    <w:p>
      <w:r>
        <w:rPr>
          <w:b/>
        </w:rPr>
        <w:t>E. 5.2.1</w:t>
      </w:r>
    </w:p>
    <w:p>
      <w:r>
        <w:t>Dans un second grief, le recourant invoque que l'AFC aurait violé son droit d'être entendu en ne lui donnant pas accès aux éléments invoqués par la banque UBS - dans le cadre de la procédure la concernant - à l'appui de sa dénonciation du principe de spécialité par les autorités françaises. Selon lui, il ne serait pas impossible que sur la base de ces éléments, il aurait pu faire valoir d'autres arguments que ceux développés par la banque UBS afin de démontrer la réalité de la violation du principe de spécialité par les autorités françaises. Pour les mêmes motifs, il requiert également par-devers le Tribunal le droit de consulter ces documents et l'autorisation de compléter son recours en conséquence.</w:t>
      </w:r>
    </w:p>
    <w:p>
      <w:r>
        <w:rPr>
          <w:b/>
        </w:rPr>
        <w:t>E. 5.2.2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S'agissant de la portée du droit de consultation des pièces, il y a lieu de rappeler que ce droit se limite à la cause de la partie (in ihrer Sache, art. 26 al. 1 PA) et ne va pas au-delà. Ainsi, l'art. 26 PA n'octroie pas un droit de consulter le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Art. 26 N. 59). Pour ce qui a trait à l'assistance administrative internationale en matière fiscale, le droit d'être entendu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5.2.3</w:t>
      </w:r>
    </w:p>
    <w:p>
      <w:r>
        <w:t>En l'occurrence, la Cour de céans constate que l'AFC a donné au recourant l'accès à toutes les pièces de son dossier. Certes, il n'est pas nié que le recourant n'a pas eu accès aux éléments invoqués par la banque UBS - dans le cadre de la procédure la concernant - à l'appui de sa dénonciation concernant la violation du principe de spécialité par les autorités françaises. Cela étant, l'AFC n'avait pas à accorder au recourant l'accès à ces documents, dès lors qu'ils se rapportaient à une procédure tierce et qu'ils ne le concernent pas concrètement. Il faut ainsi retenir que le recourant a eu accès à toutes les pièces de son dossier et qu'il a eu l'occasion de se déterminer à leur sujet devant la présente instance, de sorte que son droit d'être entendu n'a pas été violé. De surcroît, le Tribunal relève que contrairement à ce qu'invoque le recourant, l'accès aux pièces qu'il réclame ne lui aurait été d'aucun secours pour démontrer la réalité de la violation du principe de spécialité par les autorités françaises. En effet, le Tribunal fédéral a jugé - d'une manière qui lie la Cour de céans - qu'il n'existait aucun indice concret permettant de conclure que la France a l'intention de violer le principe de spécialité ou l'obligation de confidentialité prévus à l'art. 28 par. 2 CDI CH-FR (cf. ATF 146 II 150 consid. 7). Au vu de ce qui précède, le grief tiré de la violation du droit d'être entendu doit être rejeté. Ces mêmes considérations conduisent au rejet de la requête préalable de consultation de ces mêmes pièces formulée par le recourant dans la procédure par-devers le Tribunal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5.3</w:t>
      </w:r>
    </w:p>
    <w:p>
      <w:r>
        <w:t>Pour le surplus, rien ne laisser penser - et le recourant ne le prétend pas - que les autres conditions matérielles de l'assistance administrative ne sont pas respectées.</w:t>
      </w:r>
    </w:p>
    <w:p>
      <w:r>
        <w:rPr>
          <w:b/>
        </w:rPr>
        <w:t>E. 6.1</w:t>
      </w:r>
    </w:p>
    <w:p>
      <w:r>
        <w:t>Compte tenu de ce qui précède,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