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A-55/2011 vom 2. August 2011</w:t>
      </w:r>
    </w:p>
    <w:p>
      <w:r>
        <w:t>Bundesverwaltungsgericht, 2011-08-02, FR</w:t>
      </w:r>
    </w:p>
    <w:p>
      <w:r>
        <w:rPr>
          <w:b/>
        </w:rPr>
        <w:t xml:space="preserve">Quelle: </w:t>
      </w:r>
      <w:r>
        <w:t>https://mcp.opencaselaw.ch/entscheid/bvger_A-55_2011</w:t>
      </w:r>
    </w:p>
    <w:p>
      <w:r>
        <w:t>FR: TAF A-55/2011 du 2 août 2011</w:t>
      </w:r>
    </w:p>
    <w:p>
      <w:r>
        <w:t>IT: TAF A-55/2011 del 2 agosto 2011</w:t>
      </w:r>
    </w:p>
    <w:p>
      <w:pPr>
        <w:pStyle w:val="Heading2"/>
      </w:pPr>
      <w:r>
        <w:t>Regeste</w:t>
      </w:r>
    </w:p>
    <w:p>
      <w:r>
        <w:t>Installations intérieures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suit des considérants qui précèdent que le recours, mal fondé, doit être intégralement rejeté et confirmées les décisions attaquées.</w:t>
      </w:r>
    </w:p>
    <w:p>
      <w:r>
        <w:rPr>
          <w:b/>
        </w:rPr>
        <w:t>E. 7</w:t>
      </w:r>
    </w:p>
    <w:p>
      <w:r>
        <w:t>En application de l'art. 63 al. 1 PA et de l'art. 4 du règlement du 21 février 2008 concernant les frais, dépens et indemnités fixés par le Tribunal administratif fédéral (FITAF, RS 173.320.2), les frais de procédure, arrêtés à 600 francs, sont mis à la charge du recourant. Ils sont compensés par l'avance de frais déjà versée du même montant. Dans la mesure où le recourant succombe, il n'y a pas lieu de lui allouer une indemnité à titre de dépens (art. 64 al. 1 PA a contrario). Le dispositif est porté à la page suivante.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