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A-555/2013 vom 30. Oktober 2013</w:t>
      </w:r>
    </w:p>
    <w:p>
      <w:r>
        <w:t>Bundesverwaltungsgericht, 2013-10-30, DE</w:t>
      </w:r>
    </w:p>
    <w:p>
      <w:r>
        <w:rPr>
          <w:b/>
        </w:rPr>
        <w:t xml:space="preserve">Quelle: </w:t>
      </w:r>
      <w:r>
        <w:t>https://mcp.opencaselaw.ch/entscheid/bvger_A-555_2013</w:t>
      </w:r>
    </w:p>
    <w:p>
      <w:r>
        <w:t>FR: TAF A-555/2013 du 30 octobre 2013</w:t>
      </w:r>
    </w:p>
    <w:p>
      <w:r>
        <w:t>IT: TAF A-555/2013 del 30 ottobre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1.2.1</w:t>
      </w:r>
    </w:p>
    <w:p>
      <w:r>
        <w:t>Auf die funktionelle Zuständigkeit ist im Folgenden einzugehen, wobei zunächst festzustellen ist, welches Recht anwendbar ist.</w:t>
      </w:r>
    </w:p>
    <w:p>
      <w:r>
        <w:rPr>
          <w:b/>
        </w:rPr>
        <w:t>E. 1.2.1.1</w:t>
      </w:r>
    </w:p>
    <w:p>
      <w:r>
        <w:t>Am 1. Januar 2010 ist das MWSTG in Kraft getreten. Der zu beurteilende Sachverhalt hat sich im Jahre 2010 ereignet und somit ausschliesslich nach Inkrafttreten des neuen Gesetzes, womit einzig dieses zur Anwendung kommt. Soweit im Folgenden auf die Rechtsprechung zum aMWSTG verwiesen wird, liegt der Grund darin, dass diese grundsätzlich im vorliegenden Fall auch für das MWSTG übernommen werden kann.</w:t>
      </w:r>
    </w:p>
    <w:p>
      <w:r>
        <w:rPr>
          <w:b/>
        </w:rPr>
        <w:t>E. 1.2.1.2</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1.2.1.3</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w:t>
      </w:r>
    </w:p>
    <w:p>
      <w:r>
        <w:rPr>
          <w:b/>
        </w:rPr>
        <w:t>E. 1.2.2</w:t>
      </w:r>
    </w:p>
    <w:p>
      <w:r>
        <w:t>Der Erlass eines Einspracheentscheids setzt ausführungsgemäss voraus, dass vorgängig eine Verfügung ergangen ist, welche überhaupt Gegenstand eines Einspracheverfahrens bilden kann. Die Vorinstanz sieht diese Verfügung in der EM. Freilich ist es nach neuerer Rechtsprechung des Bundesverwaltungsgerichts grundsätzlich nicht zulässig, eine Einschätzungsmitteilung direkt als Verfügung im Sinne von Art. 5 VwVG auszugestalten (vgl. nicht rechtskräftiges Urteil des Bundesverwaltungsgerichts A-707/2013 vom 25. Juli 2013 E. 4.2 f., mit Hinweisen).</w:t>
      </w:r>
    </w:p>
    <w:p>
      <w:r>
        <w:rPr>
          <w:b/>
        </w:rPr>
        <w:t>E. 1.2.3</w:t>
      </w:r>
    </w:p>
    <w:p>
      <w:r>
        <w:t>Vorliegend stellt aber jedenfalls der als "Einspracheentscheid" bezeichnete Entscheid der ESTV vom 18. Dezember 2012 eine Verfügung gemäss Art. 5 VwVG dar. Indem die Beschwerdeführerin dagegen beim Bundesverwaltungsgericht Beschwerde erhob, hat sie einen allfälligen Verlust des Einspracheverfahrens (E. 1.2.1.2) zumindest in Kauf genommen. Ihre vorbehaltlose Beschwerdeführung direkt beim Bundesverwaltungsgericht ist unter diesen Umständen - in analoger Anwendung von Art. 83 Abs. 4 MWSTG - als "Zustimmung" zur Durchführung des Verfahrens der Sprungbeschwerde (E. 1.2.1.3) zu werten, zumal der "Einspracheentscheid" vom 18. Dezember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[nachfolgend: MWSTG Kommentar], Art. 18 N. 2).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Bundesverwaltungsgerichts A 5745/2008 vom 11. Juni 2010 E. 2.3).</w:t>
      </w:r>
    </w:p>
    <w:p>
      <w:r>
        <w:rPr>
          <w:b/>
        </w:rPr>
        <w:t>E. 2.3</w:t>
      </w:r>
    </w:p>
    <w:p>
      <w:r>
        <w:t>Die Annahme eines Leistungsverhältnisses setzt voraus, dass zwischen Leistung und Entgelt eine innere wirtschaftliche Verknüpfung gegeben ist (BGE 138 II 239 E. 3.2; 132 II 353 E. 4.1; 126 II 443 E. 6a m.w.H.).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2C_487/2011 vom 13. Februar 2013 E. 2.8; BVGE 2007/23 E. 2.3.2 m.w.H.; Urteile des Bundesverwaltungsgerichts A-8058/2008 vom 13. Januar 2011 E. 3.1, A 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Bundesgerichts 2A.43/2002 vom 8. Januar 2003 E. 3.2; Urteil des Bundesverwaltungsgerichts A-6001/2011 vom 21. Mai 2013 E. 2.1.3).</w:t>
      </w:r>
    </w:p>
    <w:p>
      <w:r>
        <w:rPr>
          <w:b/>
        </w:rPr>
        <w:t>E. 2.3.1</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(Urteil des Bundesgerichts 2C_928/2010 vom 28. Juni 2011 E. 3; BVGE 2009/34 E. 2.2.1; Daniel Riedo, Vom Wesen der Mehrwertsteuer als allgemeine Verbrauchsteuer und von den entsprechenden Wirkungen auf das schweizerische Recht, Bern 1999, S. 230 ff.; Baumgartner/Clavadetscher/Kocher, a.a.O., § 4 N. 20; Claudio Fischer/Claude Grosjean, Der Leistungsbegriff, in: Archiv für Schweizerisches Abgaberecht [ASA] 78 S. 711 f.). Grundsätzlich ohne Belang ist dagegen die Sichtweise des Leistungserbringers. Demnach muss die Leistung des Steuerpflichtigen, damit sie steuerbar ist, nicht zwingend auf den Erhalt eines Entgelts gerichtet sein (a.A. Camenzind/Honauer/Vallender/Jung/Probst, a.a.O., Rz. 650 f.; Hans Georg Ruppe/Markus Achatz, [österreichisches] Umsatzsteuergesetz Kommentar, Wien 2011, § 1 N. 67).</w:t>
      </w:r>
    </w:p>
    <w:p>
      <w:r>
        <w:rPr>
          <w:b/>
        </w:rPr>
        <w:t>E. 2.3.2.1</w:t>
      </w:r>
    </w:p>
    <w:p>
      <w:r>
        <w:t>Im Rahmen der Beurteilung, ob ein Leistungsverhältnis vorliegt, ist zu prüfen, wer als Leistungserbringer und wer als Leistungsempfänger zu gelten hat (vgl. Urteil des Bundesgerichts 2A.215/2003 vom 20. Januar 2005 E. 6.4 und 6.5; Urteil des Bundesverwaltungsgerichts A-5279/2011 vom 1. März 2013 E. 2.1.1 m.w.H.). Wer als Leistungserbringer zu gelten hat, bestimmt sich laut Art. 20 Abs. 1 MWSTG nach dem Aussenauftritt. Das mehrwertsteuerlich relevante Handeln wird demgemäss grundsätzlich demjenigen zugeordnet, der gegen­über Dritten im eigenen Namen auftritt (vgl. statt vieler: Urteil des Bundes­ver­waltungs­gerichts A 6367/2011 vom 14. August 2012 E. 2.2.4 m.w.H.; Ralf Imstepf, Die Zuordnung von Leistungen gemäss Art. 20 des neuen MWSTG, in: ASA 78 S. 772).</w:t>
      </w:r>
    </w:p>
    <w:p>
      <w:r>
        <w:rPr>
          <w:b/>
        </w:rPr>
        <w:t>E. 2.3.2.2</w:t>
      </w:r>
    </w:p>
    <w:p>
      <w:r>
        <w:t>Von einem Vertrag zu Gunsten Dritter wird gemäss Rechtsprechung und Lehre zu Art. 112 des Obligationenrechts vom 30. März 1911 (OR; SR 220) gesprochen, wenn der Leistungsschuldner (Promittent) dem Leistungsempfänger (Promissar) die Leistung an einen Dritten verspricht (vgl. statt vieler: BGE 139 III 60 E. 5.2; Patrick Krauskopf, Der Vertrag zugunsten Dritter, Diss. Freiburg 2000, Rz. 12 ff.). Durch einen unechten (gewöhnlichen) Vertrag zu Gunsten eines Dritten wird dieser zum Empfang der Leistung bloss ermächtigt (Art. 112 Abs. 1 OR), während ihm der echte (qualifizierte) Vertrag zu Gunsten Dritten zusätzlich ein eigenes Forderungsrecht einräumt (Art. 112 Abs. 2 OR; BGE 115 III 16 E. 2; vgl. Rainer Gonzenbach/Corinne Zellweger-Gutknecht, Obligationenrecht I, Basler Kommentar, 5. Aufl., Basel 2011, Art. 112 OR N. 13 ff.). Die zivilrechtliche Unterscheidung wirkt sich auch auf die Beantwortung der mehrwertsteuerlichen Frage aus, wer nach aussen auftritt und damit wer Leistungserbringer bzw. Leistungsempfänger ist (E. 2.3.2.1). Beim echten Vertrag zu Gunsten Dritter, bei welchen der Dritte die Erfüllung des Vertrags verlangen kann, wird in der Lehre die (umstrittene) Meinung vertreten, dass der Promittent in seinem eigenen Namen und für seine Rechnung gegenüber dem Dritten auftrete. Der Dritte seinerseits, der die Erfüllung des Vertrags fordere, trete gegenüber dem Promittenten als Leistungsempfänger auf. Grundsätzlich bestünden keine wirtschaftlich relevanten Unterschiede zu einem Zweiparteienverhältnis, womit sich die gleiche mehrwertsteuerliche Behandlung rechtfertigt (Pierre-Marie Glauser, mwst.com, Kommentar zum Bundesgesetz über die Mehrwertsteuer, Basel/Genf/München 2000 [nachfolgend: mwst.com], Art. 11 N. 34; Derselbe, Stipulation pour autrui et représentation en TVA, Schweizer Treuhänder [ST] 12/1998, S. 1463 ff.; a.A. Otto-Gerd Lippross, [deutsche] Umsatzsteuer, 23. Aufl., Achim bei Bremen 2012, S. 84; Ruppe/Achatz, a.a.O., § 1 N. 287). Wie es sich damit verhält, kann vorliegend offen gelassen werden. Anders beurteilt sich nämlich gemäss Lehre der (unechte) Vertrag zu Gunsten Dritter. Dem begünstigten Dritten kommt kein eigenes Forderungsrecht zu. Die Lehre geht davon aus, dass in wirtschaftlicher Hinsicht die Situation mit jener eines Unterakkordanten identisch ist (Pierre-Marie Glauser, mwst.com, Art. 11 N. 35). Demnach entstehen zwei mehrwertsteuerliche Leistungsverhältnisse. Einerseits ein solches zwischen dem Promittenten und dem Promissar und andererseits ein solches zwischen dem Promissar und dem Dritten. Der Promissar ist zugleich Leistungsempfänger als auch Leistungserbringer. Er empfängt die Leistung des Promittenten und tritt gegenüber dem Dritten bezüglich dieser Leistung als Leistungserbringer auf (vgl. für das deutsche Umsatzsteuerrecht: Eberhard Husmann, in: Günter Rau/Erich Dürrwächter, Kommentar zum Umsatzsteu­ergesetz, Köln 1967/2012, § 1 N. 95; Lippross, a.a.O., S. 84).</w:t>
      </w:r>
    </w:p>
    <w:p>
      <w:r>
        <w:rPr>
          <w:b/>
        </w:rPr>
        <w:t>E. 2.4</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Entscheidend ist somit nicht mehr wie unter altem Recht, was der Empfänger der Leistung oder an seiner Stelle ein Dritter als Gegenleistung für die Leistung aufwendet (statt vieler: BGE 126 II 443 E. 6a; Urteil des Bundesverwaltungsgerichts A 5279/2011 vom 1. März 2013 E. 2.1.3 m.w.H.). Massgeblich ist vielmehr der tatsächliche Vermögenszugang beim Leistungserbringer (vgl. Baumgartner/Clavadetscher/Kocher, a.a.O., § 6 N. 5; Geiger, MWSTG Kommentar, Art. 24 N. 3).</w:t>
      </w:r>
    </w:p>
    <w:p>
      <w:r>
        <w:rPr>
          <w:b/>
        </w:rPr>
        <w:t>E. 2.5</w:t>
      </w:r>
    </w:p>
    <w:p>
      <w:r>
        <w:t>Mangels Leistung gehören Subventionen und andere Beiträge der öffentlichen Hand, auch wenn sie gestützt auf einen Leistungsauftrag oder eine Programmvereinbarung gemäss Art. 46 Abs. 2 BV ausgerichtet werden, nicht zum Entgelt (Art. 18 Abs. 2 Bst. a MWSTG). Art. 29 der Mehrwertsteuerverordnung vom 27. November 2009 (MWSTV; SR 641.201) umschreibt den mehrwertsteuerlichen Subventionsbegriff mit einer nicht abschliessenden Liste von Beispielen. Das Bundesgericht bezeichnet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126 II 443 E. 6b ff.; Urteil des Bundesverwaltungsgerichts A-382/2010 vom 21. September 2010 E. 2.2.1 m.w.H.).</w:t>
      </w:r>
    </w:p>
    <w:p>
      <w:r>
        <w:rPr>
          <w:b/>
        </w:rPr>
        <w:t>E. 2.6.1</w:t>
      </w:r>
    </w:p>
    <w:p>
      <w:r>
        <w:t>Die in Art. 21 MWSTG enthaltenen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Bundesgerichts 2A.305/2002 vom 6. Januar 2003 E. 3.2; Urteil des Bundesverwaltungsgerichts A-2999/2007 vom 12. Februar 2010 E. 2.4). Primär sind die Ausnahmebestimmungen nach Art. 21 MWSTG (wie andere Rechtsnormen auch) aber weder extensiv noch restriktiv, sondern nach ihrem Sinn und Zweck "richtig" auszulegen (statt vieler: BGE 138 II 251 E. 2.3.3).</w:t>
      </w:r>
    </w:p>
    <w:p>
      <w:r>
        <w:rPr>
          <w:b/>
        </w:rPr>
        <w:t>E. 2.6.2</w:t>
      </w:r>
    </w:p>
    <w:p>
      <w:r>
        <w:t>Gemäss Art. 21 Abs. 2 Ziff. 11 MWSTG sind im Bereich der Erziehung und Bildung mit Ausnahme der in diesem Zusammenhang erbrachten gastgewerblichen Leistungen sowie Beherbergungsleistungen bestimmte Leistungen von der Steuer ausgenommen. Insbesondere gilt dies für Leistungen im Bereich der Erziehung von Kindern und Jugendlichen, des Unterrichts, der Ausbildung, Fortbildung und beruflichen Umschulung einschliesslich des von Privatlehrern oder Privatschulen erteilten Unterrichts (Art. 21 Abs. 2 Ziff. 11 Bst. a MWSTG). Ferner sind auch Umsätze aus Kursen, Vorträgen sowie anderen Veranstaltungen wissenschaftlicher oder bildender Art von der Steuer ausgenommen (vgl. Art. 21 Abs. 2 Ziff. 11 Bst. b MWSTG).</w:t>
      </w:r>
    </w:p>
    <w:p>
      <w:r>
        <w:rPr>
          <w:b/>
        </w:rPr>
        <w:t>E. 2.6.3</w:t>
      </w:r>
    </w:p>
    <w:p>
      <w:r>
        <w:t>Gemäss der Verwaltungspraxis muss, damit eine Leistung bildenden Charakter im Sinne von Art. 21 Abs. 2 Ziff. 11 Bst. a und b MWSTG hat, "ihr in erster Linie verfolgtes Ziel die Vermittlung von Wissen [...] sein" (Ziff. 2 MWST-Branchen-Info "Bildung"). Bildungsleistungen sind daher abzugrenzen von anderen Leistungen, welche zwar auch Wissen vermitteln könnten, deren in erster Linie verfolgtes Ziel indessen ein anderes sei (Urteil des Bundesverwaltungsgerichts A-5116/2012 vom 31. Juli 2013 E. 2.3).</w:t>
      </w:r>
    </w:p>
    <w:p>
      <w:r>
        <w:rPr>
          <w:b/>
        </w:rPr>
        <w:t>E. 2.7</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mit Hinweisen; BVGE 2007/24 E. 2.3). Sind mehrere Lösungen denkbar, ist jene zu wählen, die der Verfassung entspricht (BGE 130 II 65 E. 4.2). Allerdings findet die verfassungskonforme Auslegung - auch bei festgestellter Verfassungswidrigkeit - im klaren Wortlaut und Sinn einer Gesetzesbestimmung ihre Schranke (Art. 190 BV; BGE 131 II 697 E. 4.1, BGE 129 II 249 E. 5.4).</w:t>
      </w:r>
    </w:p>
    <w:p>
      <w:r>
        <w:rPr>
          <w:b/>
        </w:rPr>
        <w:t>E. 3.1</w:t>
      </w:r>
    </w:p>
    <w:p>
      <w:r>
        <w:t>Streitgegenstand des vorliegenden Verfahrens bildet die mehrwertsteuerrechtliche Behandlung der an die Schüler der Sonderschulen geleisteten Transportleistungen bei der Beschwerdeführerin. Die rechtliche Beurteilung hängt zunächst davon ab, ob ein Leistungsverhältnis im mehrwertsteuerlichen Sinn zwischen ihr und den Schülern vorliegt (E. 3.2). Es stellt sich diesbezüglich die Frage, ob die von der Beschwerdeführerin vereinnahmten Zahlungen der Kostenträger als Subventionen zu betrachten sind (E. 3.2.3). Ist ein Leistungsverhältnis zu bejahen, muss überprüft werden, ob dieses - wie von der Beschwerdeführerin gerügt - allenfalls als Bildungsleistung i.S.v. Art. 21 Abs. 2 Ziff. 11 Bst. a MWSTG von der Besteuerung ausgenommen ist (E. 3.3).</w:t>
      </w:r>
    </w:p>
    <w:p>
      <w:r>
        <w:rPr>
          <w:b/>
        </w:rPr>
        <w:t>E. 3.2.1</w:t>
      </w:r>
    </w:p>
    <w:p>
      <w:r>
        <w:t>Ob ein steuerbares Leistungsverhältnis vorliegt, beurteilt sich danach, ob eine Leistung und ein Entgelt vorliegen, welche wirtschaftlich miteinander verknüpft sind (E. 2.1 ff.). Die ESTV erblickt vorliegend ein steuerbares Leistungsverhältnis zwischen der Beschwerdeführerin und den Schülern, welche von ihr Transportleistungen empfangen würden. Das begriffsnotwendige Entgelt stellten die Zahlungen der Kostenträger an die Beschwerdeführerin dar. Die Beschwerdeführerin bringt dagegen vor, dass sie zwar die Sonderschulung - also "Ausbildung und Transport im Rahmen der Schulweggarantie" - vornehme, dass sie dafür aber kein Entgelt von den Schülern erhalte, sondern für die Erfüllung einer öffentlichen Aufgabe entschädigt werde. Da diese Entschädigung als Subvention i.S.v. Art. 18 Abs. 2 Bst. a MWSTG zu betrachten sei, welche nicht als Entgelt qualifiziert würden, liege überhaupt kein Leistungsverhältnis vor. Es sei m.a.W. davon auszugehen, dass kein steuerbares Leistungsverhältnis vorliege, da die Schüler kein Entgelt bezahlen würden. Im Sinne eines Eventualstandpunkts bringt die Beschwerdeführerin vor, dass die Transportleistungen durch die Taxiunternehmung und nicht durch sie selber erbracht werden.</w:t>
      </w:r>
    </w:p>
    <w:p>
      <w:r>
        <w:rPr>
          <w:b/>
        </w:rPr>
        <w:t>E. 3.2.2</w:t>
      </w:r>
    </w:p>
    <w:p>
      <w:r>
        <w:t>Zunächst ist somit zu klären, wem die Transportleistungen zuzuordnen sind. Wer als Leistungserbringer zu gelten hat, bestimmt sich nach dem Aussenauftritt der beteiligten Personen, für welchen indizienhalber auf die zivilrechtlichen Vertragsbeziehungen und die Rechnungsstellung abgestellt werden kann (E. 2.3.2.1 f.). Unbestrittenermassen schlossen die Schulen der Beschwerdeführerin mit der Taxiunternehmung am 8. November 2006 einen Rahmenvertrag. Darin verpflichtete sich Letztere, den Schulbusbetrieb der Schulen der Beschwerdeführerin gegen Entgelt zu übernehmen. Die Abrechnung erfolgte über die "Kaufmännische Leitung" der Beschwerdeführerin. Nicht Vertragspartner sind dagegen die zu befördernden Schüler. Sie sind lediglich die Begünstigten der Transportleistungen. Dem Vertrag lässt sich aber nicht entnehmen, dass die Schüler ein originäres und selbstständiges Forderungsrecht gegenüber der Taxiunternehmung gehabt hätten. Der Rahmenvertrag bzw. die auf diesem Rahmenvertrag basierenden Einzeltransportverträge qualifizieren sich somit als unechte Verträge zu Gunsten Dritter (E. 2.3.2.2), für welche aus einer wirtschaftlichen Betrachtungsweise aufgrund des jeweiligen Aussenauftritts der Beteiligten je ein mehrwertsteuerliches Leistungsverhältnis zwischen dem Promissar (vorliegend der Beschwerdeführerin) und dem Promittenten (vorliegend der Taxiunternehmung) bzw. zwischen dem Promissar und dem Dritten (vorliegend den Schülern) entsteht (E. 2.3.2.2). Zudem verbuchte die Beschwerdeführerin unbestrittenermassen die Leistungen aufwand- und ertragsseitig über die Erfolgsrechnung und organsierte die Abrechnung der Kosten. Die strittigen Transporttätigkeiten wurden somit von der Beschwerdeführerin (und nicht wie von ihr vorgebracht von der Taxiunternehmung) an die Schüler erbracht.</w:t>
      </w:r>
    </w:p>
    <w:p>
      <w:r>
        <w:rPr>
          <w:b/>
        </w:rPr>
        <w:t>E. 3.2.3.1</w:t>
      </w:r>
    </w:p>
    <w:p>
      <w:r>
        <w:t>Weiter ist zu prüfen, ob den Transporttätigkeiten ein Entgelt ge-genübersteht, womit bejahendenfalls von einem (grundsätzlich steuerbaren) Leistungsverhältnis im mehrwertsteuerlichen Sinn zwischen der Beschwerdeführerin und den Schülern auszugehen wäre. Wie bereits dargelegt, sieht die ESTV das steuerbare Entgelt in den Zahlungen der Kostenträger. Bei diesen Beiträgen handle es sich nicht um Subventionen, sondern um individuelle Sozialversicherungsleistungen zugunsten der Schulkinder, welche ihnen ermöglichen sollen, für die anfallenden Transportkosten aufzukommen. Die Beschwerdeführerin betrachtet diese Zahlungen dagegen nicht als Entgelt, da sie einerseits nicht von den Schülern stammen und andererseits Subventionen i.S.v. Art. 18 Abs. 2 Bst. a MWSTG darstellen würden.</w:t>
      </w:r>
    </w:p>
    <w:p>
      <w:r>
        <w:rPr>
          <w:b/>
        </w:rPr>
        <w:t>E. 3.2.3.2</w:t>
      </w:r>
    </w:p>
    <w:p>
      <w:r>
        <w:t>Vorab sei festgehalten, dass zum Entgelt alles gehört, was der Leistungserbringer tatsächlich empfängt (E. 2.4). Vorliegend ist somit unerheblich, dass die Zahlungen nicht (direkt) von den Schülern stammen, sondern vom Kostenträger direkt an die Beschwerdeführerin geleistet wurden. Entscheidend ist einzig, dass ein Entgelt besteht, welches im Austausch mit einer Leistung erbracht wurde (sog. "innere wirtschaftliche Verknüpfung"; E. 2.3). Da die Gelder des Kostenträgers an die Beschwerdeführerin ausgerichtet wurden, weil diese Schüler transportieren liess, ist dieses Erfordernis erfüllt.</w:t>
      </w:r>
    </w:p>
    <w:p>
      <w:r>
        <w:rPr>
          <w:b/>
        </w:rPr>
        <w:t>E. 3.2.3.3</w:t>
      </w:r>
    </w:p>
    <w:p>
      <w:r>
        <w:t>Vorliegend ist - wie dargestellt - streitig, ob mit den Beiträgen des Kostenträgers individuelle Sozialversicherungszahlungen oder Subventionen an die Beschwerdeführerin vorliegen. Von Gesetzes wegen kein Entgelt im mehrwertsteuerlichen Sinn stellen Subventionen dar (E. 2.5). Als Subvention gelten - wie erwähnt - "Leistungen" kraft öffentlichen Rechts, die 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Sie sind nicht Entgelt für eine vom Subventionsempfänger zu erbringende marktwirtschaftliche Leistung.</w:t>
      </w:r>
    </w:p>
    <w:p>
      <w:r>
        <w:rPr>
          <w:b/>
        </w:rPr>
        <w:t>E. 3.2.3.4</w:t>
      </w:r>
    </w:p>
    <w:p>
      <w:r>
        <w:t>Die ESTV bezieht sich zur Begründung ihres Standpunktes auf Art. 19 Abs. 2 Bst. d aIVG, welcher bis Ende 2007 ihres Erachtens individuelle Beiträge der Invalidenversicherung für die Schüler vorgesehen habe. Nach dem Inkrafttreten des Bundesbeschlusses vom 3. Oktober 2003 zur Neugestaltung des Finanzausgleichs und der Aufteilung zwischen Bund und Kantonen (NFA; AS 2007 5765) seien die Beiträge gemäss Art. 197 Ziff. 2 BV ab dem Jahr 2008 für mindestens drei Jahre von den Kantonen zu übernehmen gewesen. Die auf Grundlage dieser Bestimmung ausbezahlten Beiträge stünden den Schulkindern daher auch nach Inkrafttreten der NFA individuell zu, womit individuelle Sozialversicherungsleistungen vorliegen würden. Die Beschwerdeführerin bringt dagegen vor, dass die Beiträge auf Grundlage von Art. 11 i.V.m. Art. 17 Abs. 2 des kantonal-sanktgallischen Gesetzes über die Kantonsbeiträge an private Sonderschulen vom 31. März 1977 (Sonderschulgesetz; sGS 213.95) ausgeschüttet worden seien. Bis Ende 2007 habe Art. 11 des Sonderschulgesetzes auf die Bestimmungen des aIVG verwiesen. In der ab dem 1. Januar 2008 geltenden Fassung von Art. 11 des Sonderschulgesetzes sei unter anderem vorgesehen, dass der Kanton den Sonderschulen für die Kosten des Transports nach den Bestimmungen des aIVG Betriebsbeiträge ausbezahle. Dieser Bestimmung könne kein Hinweis auf individuelle Ansprüche entnommen werden. Nichts anderes ergäbe sich aus der Richtlinie der Interkantonalen Vereinbarung für soziale Einrichtungen (ISVE-Richtlinie) zur Leistungsabgeltung und zur Kostenrechnung der Konferenz der kantonalen Sozialdirektoren. In BGE 126 II 452 habe das Bundesgericht entschieden, dass solche Betriebsbeiträge (gestützt auf Art. 73 aIVG) Subventionen im Sinne des Mehrwertsteuerrechts darstellten, womit es vorliegend an einem Entgelt für die Transporttätigkeiten fehle.</w:t>
      </w:r>
    </w:p>
    <w:p>
      <w:r>
        <w:rPr>
          <w:b/>
        </w:rPr>
        <w:t>E. 3.2.3.5</w:t>
      </w:r>
    </w:p>
    <w:p>
      <w:r>
        <w:t>Der Beschwerdeführerin ist zuzustimmen, dass das Bundesgericht entschieden hat, dass es sich bei Betriebsbeiträgen Art. 73 aIVG um Subventionen im mehrwertsteuerlichen Sinn handelt (BGE 126 II 452 E. 7). Mit diesen Beiträgen der Invalidenversicherung sollten die behinderungsbedingten Mehrkosten entschädigt werden. Die Betriebsbeiträge stellten aber keine Versicherungsleistungen im technischen Sinne dar, welche dem Versicherungsträger dem Versicherten bei Eintritt eines Versicherungsfalls schuldete. Vielmehr ging es um kollektive Leistungen der Invalidenversicherung an Institutionen, die eine Aufgabe gemäss Art. 73 ff. aIVG erfüllen (vgl. Ulrich Meyer-Blaser, Bundesgesetz über die Invalidenversicherung, 1. Aufl., Zürich 1997, S. 311).</w:t>
      </w:r>
    </w:p>
    <w:p>
      <w:r>
        <w:rPr>
          <w:b/>
        </w:rPr>
        <w:t>E. 3.2.3.6</w:t>
      </w:r>
    </w:p>
    <w:p>
      <w:r>
        <w:t>Die Rechtsgrundlage für die Zahlungen der Kostenträger an die Beschwerdeführerin bezüglich der Transportkosten ist vorliegend bis Ende 2007 in Art. 19 ff. aIVG und ab 2008 in Art. 197 Ziff. 2 der Übergangsbestimmungen der BV bzw. im kantonalen Sonderschulgesetz zu finden. An die Sonderschulung bildungsfähiger Versicherter, die das 20. Altersjahr noch nicht vollendet haben und denen infolge Invalidität der Besuch der Volksschule nicht möglich oder nicht zumutbar ist, wurden bis zum Inkrafttreten der NFA am 1. Januar 2008 gemäss Art. 19 Abs. 1 Satz 1 aIVG Beiträge gewährt, welche unter anderem besondere Entschädigungen für die mit der Überwindung des Schulweges im Zusammenhang stehenden invaliditätsbedingten Kosten umfassten (Art. 19 Abs. 2 Bst. d aIVG). Die Invalidenversicherung übernahm die Kosten für die Transporte, die für den Besuch der Sonderschule notwendig sind, höchstens jedoch für die Fahrt bis zur nächstgelegenen geeigneten Durchführungsstelle (Art. 8quater Abs. 1 Satz 1 und 2 der Verordnung vom 17. Januar 1961 über die Invalidenversicherung [aIVV; AS 1961 29]). Vergütet wurden die Kosten, die den Preisen der öffentlichen Transportmittel für Fahrten auf dem direkten Weg entsprechen (Art. 8quater Abs. 2 Bst. a aIVV), oder die Kosten des von der Sonderschule organisierten oder durch die Erziehungsberechtigten der versicherten Person durchgeführten Transports (Art. 8quater Abs. 2 Bst. b aIVV). Berechtigter dieser Transportkostenvergütung war der Versicherte selber - im vorliegenden Sachverhalt also der transportierte Schüler. Seit Inkrafttreten der NFA am 1. Januar 2008 trägt der Kanton St. Gallen gemäss Art. 11 Abs. 1 Bst. b Ziff. 1 Sonderschulgesetz die Transportkosten i.S.v. Art. 8quater aIVV. Laut Wortlaut und Systematik des Sonderschulgesetzes scheinen die Transportkostenentschädigungen im Gegensatz zu Art. 19 aIVG nicht mehr wie unter Art. 19 Abs. 2 Bst. d aIVG individuelle Entschädigungen der Versicherten (also den Sonderschülern) darzustellen, sondern Betriebsbeiträge, die dem Sonderschulträger zustehen. Wie die ESTV richtigerweise festhält, wäre eine solche Auslegung des Sonderschulgesetzes jedoch nicht verfassungskonform (E. 2.7). Gemäss Art. 197 Ziff. 2 der Übergangsbestimmungen der BV übernehmen die Kantone ab 1. Januar 2008 die bisherigen Leistungen der Invalidenversicherung an die Sonderschulung, bis sie über kantonal genehmigte Sonderschulkonzepte verfügen, mindestens jedoch während drei Jahren. Die vorliegend streitigen Steuerperioden befinden sich innerhalb dieser Dreijahresfrist. Die Übernahme der bisherigen Leistungen durch die Kantone darf m.a.W. nicht zu einer Verschlechterung der rechtlichen Ansprüche der Schüler führen. Dies kann nun aber nichts anderes bedeuten, als dass die Sonderschüler bis zum Ablauf dieser Frist auch weiterhin individuelle Ansprüche auf Transportkostenentschädigung hatten (vgl. auch die Botschaft vom 14. November 2001 zur Neugestaltung des Finanzausgleichs und der Aufgaben zwischen Bund und Kantonen [NFA], BBl 2002 2417, und Art. 62 Abs. 3 BV).</w:t>
      </w:r>
    </w:p>
    <w:p>
      <w:r>
        <w:rPr>
          <w:b/>
        </w:rPr>
        <w:t>E. 3.2.3.7</w:t>
      </w:r>
    </w:p>
    <w:p>
      <w:r>
        <w:t>Da nach dem Ausgeführten sowohl altrechlich gemäss Art. 19 aIVG als auch neurechtlich unter dem verfassungskonform ausgelegten kantonalen Recht zumindest im vorliegend einzig zu beurteilenden Zeitraum die Transportkostenentschädigung als individueller Anspruch der Schüler gegenüber dem jeweiligen Kostenträger zu betrachten ist (E. 3.2.3.6), steht fest, dass die Beschwerdeführerin die Entschädigung nur im Namen und auf Rechnung der Sonderschüler einziehen konnte. Vor diesem Hintergrund erübrigt sich die von der Beschwerdeführerin angebotene Befragung von D.______ und die Einholung einer Auskunft bzw. von Unterlagen des Kantons St. Gallen zur Finanzierung der Sonderschulen. Der ESTV ist somit zuzustimmen, dass die Entschädigung eigentlich zunächst an die jeweiligen Sonderschüler zu zahlen gewesen wäre, welche damit dann ihrerseits die Beschwerdeführerin für deren Transportleistungen (E. 3.2.2) hätten entschädigen müssen. Dass die Beschwerdeführerin die Transportentschädigung direkt beim Kostenträger geltend machte, vermag mit Blick auf den reduzierten Verwaltungsaufwand durchaus sinnvoll erscheinen. Die konkrete Zahlungsabwicklung darf aber in Bezug auf die mehrwertsteuerliche Beurteilung keine Rolle spielen.</w:t>
      </w:r>
    </w:p>
    <w:p>
      <w:r>
        <w:rPr>
          <w:b/>
        </w:rPr>
        <w:t>E. 3.2.4</w:t>
      </w:r>
    </w:p>
    <w:p>
      <w:r>
        <w:t>Im Ergebnis steht somit den der Beschwerdeführerin zuordenbaren Transportleistungen (E. 3.2.2) ein Entgelt gegenüber - nämlich die Transportentschädigungen seitens der Sonderschüler (E. 3.2.3). Da das Entgelt (wie soeben beschrieben) eigentlich von den Sonderschülern - und nicht vom staatlichen Kostenträger - an die Beschwerdeführerin geleistet wird, kann im Übrigen keine Subvention i.S.v. Art. 18 Abs. 2 Bst. a MWSTG vorliegen. Dass die Transportleistungen und das Entgelt wirtschaftlich miteinander verknüpft sind, wird im Übrigen zu Recht nicht bestritten. Die Voraussetzungen, welche an ein steuerbares Leistungsverhältnis gestellt werden, sind damit vorliegend erfüllt (E. 2.3). Vor diesem Hintergrund braucht auf den Eventualstandpunkt der ESTV, es liege ein steuerbares Leistungsverhältnis zwischen der Beschwerdeführerin und dem Kanton vor, nicht eingegangen zu werden. Auch eine Beurteilung der von der Beschwerdeführerin vorgenommenen Aufteilung zwischen Umsätzen der Beschwerdeführerin und solchen der Taxiunternehmung erübrigt sich. Dementsprechend braucht darüber - obwohl durch die Beschwerdeführerin angeboten - nicht Beweis geführt zu werden.</w:t>
      </w:r>
    </w:p>
    <w:p>
      <w:r>
        <w:rPr>
          <w:b/>
        </w:rPr>
        <w:t>E. 3.3.1</w:t>
      </w:r>
    </w:p>
    <w:p>
      <w:r>
        <w:t>Die Beschwerdeführerin macht geltend, dass gemäss Art. 18 Ziff. 11 Bst. a aMWSTG (recte: Art. 21 Abs. 2 Ziff. 11 Bst. a MWSTG) Leistungen im Bereich Bildung und Erziehung von Kindern und Jugendlichen von der Besteuerung ausgenommen seien. Da gemäss ständiger Rechtsprechung der verfassungsrechtliche Anspruch auf ausreichenden Grundschulunterricht (Art. 19 i.V.m. Art. 62 BV) auch den Anspruch auf Transport (oder allenfalls andere Massnahmen) umfasse, seien (neben den eigentlichen Bildungs- und Erziehungsleistungen) auch die Transportleistungen von der Besteuerung ausgenommen. Da die Beschwerdeführerin im Übrigen mit Pauschalsteuersatz abrechne, führe die ausgenommene Leistung zu keiner Vorsteuerkorrektur. Die ESTV bringt dagegen vor, dass es sich bei den Transportleistungen um selbstständige, steuerbare Leistungen handle, woran der verfassungsmässige Anspruch auf ausreichenden Grundschulunterricht nichts zu ändern vermöge.</w:t>
      </w:r>
    </w:p>
    <w:p>
      <w:r>
        <w:rPr>
          <w:b/>
        </w:rPr>
        <w:t>E. 3.3.2</w:t>
      </w:r>
    </w:p>
    <w:p>
      <w:r>
        <w:t>Vorab ist festzuhalten, dass die Beschwerdeführerin gegenüber dem Kostenträger über die Transportkosten separat abgerechnet hat. Dies ergibt sich aus den ins Recht gelegten Rechnungen der Beschwerdeführerin an den Kanton St. Gallen für "Schülertransporte". Das Bundesgericht schützte in BGE 126 II 443 die Praxis der ESTV, wonach Beförderungen steuerausgenommen sind, wenn sie im Pensionspreis bzw. in einer Tagespauschale inbegriffen sind. Bei separater Verrechnung sind die Leistungen aber einzeln mehrwertsteuerlich zu behandeln. Die ESTV hat daher zu Recht vorgebracht, dass es sich bei den Transportleistungen um separate, von den Bildungs- und Erziehungsleistungen der Beschwerdeführerin selbstständige Leistungen handelt. Dass die Beschwerdeführerin aufgrund der gesetzlichen Vorgaben bzw. der IVSE-Richtlinie zur separaten Abrechnung anscheinend verpflichtet war, spielt für die mehrwertsteuerliche Bewertung keine Rolle.</w:t>
      </w:r>
    </w:p>
    <w:p>
      <w:r>
        <w:rPr>
          <w:b/>
        </w:rPr>
        <w:t>E. 3.3.3</w:t>
      </w:r>
    </w:p>
    <w:p>
      <w:r>
        <w:t>Art. 21 Abs. 2 Ziff. 11 MWSTG nimmt Bildungs- und Erziehungsleistungen - also Leistungen, deren in erster Linie verfolgtes Ziel aus Sicht des Leistungserbringers die Vermittlung von Wissen ist - von der Besteuerung aus. Die Befreiung von der Besteuerung ist jedoch nur eine "unechte", da zwar die Leistungen nicht versteuert werden müssen, der Vorsteuerabzug aber nicht geltend gemacht werden kann (E. 2.6.1). Die vorliegend separat in Rechnung gestellten Transportleistungen bezwecken nicht unmittelbar die Vermittlung von Wissen, sondern den Transport der Schüler zur jeweiligen Schule und wieder zurück an ihren Wohnsitz. Sie können dementsprechend für sich alleine nicht als steuerausgenommene Bildungs- oder Erziehungsleistungen qualifiziert werden. Entgegen den Vorbringen der Beschwerdeführerin vermag daran nichts zu ändern, dass die Transportleistungen allenfalls als Teil des verfassungsrechtlichen Anspruchs auf ausreichenden Grundschulunterricht zu betrachten sind. Denn mehrwertsteuerlich ist einzig entscheidend, dass die separat in Rechnung gestellten Leistungen selbstständig zu bewerten sind.</w:t>
      </w:r>
    </w:p>
    <w:p>
      <w:r>
        <w:rPr>
          <w:b/>
        </w:rPr>
        <w:t>E. 3.3.4</w:t>
      </w:r>
    </w:p>
    <w:p>
      <w:r>
        <w:t>Im Ergebnis sind somit die im Streit liegenden Transportleistungen nicht i.S.v. Art. 21 Abs. 2 Ziff. 11 MWSTG steuerausgenommen. Die Beschwerdeführerin vermag mit der entsprechenden Rüge demgemäss nicht durchzudringen. Dass eine andere Steuerausnahme - beispielsweise die Befreiung der Beförderung von kranken, verletzten oder invaliden Personen in dafür besonders eingerichteten Transportmitteln (Art. 21 Abs. 2 Ziff. 7 MWSTG) oder diejenige im Bereich der Sozialfürsorge (Art. 21 Abs. 2 Ziff. 8 MWSTG) - einschlägig wäre, bringt die Beschwerdeführerin vor Bundesverwaltungsgericht nicht (mehr) vor und ist aufgrund des vorgebrachten Sachverhalts auch nicht naheliegend. Dementsprechend sind die Transportleistungen ordentlich steuerbar.</w:t>
      </w:r>
    </w:p>
    <w:p>
      <w:r>
        <w:rPr>
          <w:b/>
        </w:rPr>
        <w:t>E. 4</w:t>
      </w:r>
    </w:p>
    <w:p>
      <w:r>
        <w:t>Nach dem Ausgeführten ist die Beschwerde abzuweisen. Die Beschwerdeführerin hat als unterliegende Partei die Verfahrenskosten im Umfang von Fr. 1'000.-- zu tragen (Art. 63 Abs. 1 VwVG). Sie werden mit dem von ihr in gleicher Höhe geleisteten Kostenvorschuss verrechnet. Ein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