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A-5551/2019 vom 14. Januar 2021</w:t>
      </w:r>
    </w:p>
    <w:p>
      <w:r>
        <w:t>Bundesverwaltungsgericht, 2021-01-14, DE</w:t>
      </w:r>
    </w:p>
    <w:p>
      <w:r>
        <w:rPr>
          <w:b/>
        </w:rPr>
        <w:t xml:space="preserve">Quelle: </w:t>
      </w:r>
      <w:r>
        <w:t>https://mcp.opencaselaw.ch/entscheid/bvger_A-5551_2019</w:t>
      </w:r>
    </w:p>
    <w:p>
      <w:r>
        <w:t>FR: TAF A-5551/2019 du 14 janvier 2021</w:t>
      </w:r>
    </w:p>
    <w:p>
      <w:r>
        <w:t>IT: TAF A-5551/2019 del 14 gennaio 2021</w:t>
      </w:r>
    </w:p>
    <w:p>
      <w:pPr>
        <w:pStyle w:val="Heading2"/>
      </w:pPr>
      <w:r>
        <w:t>Regeste</w:t>
      </w:r>
    </w:p>
    <w:p>
      <w:r>
        <w:t>Mehrwertsteuer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Eine Ausnahme in sachlicher Hinsicht nach Art. 32 VGG liegt nicht vor und die Vor-instanz ist eine Behörde im Sinn von Art. 33 VGG. Das Verfahren vor dem Bundesverwaltungsgericht richtet sich nach dem VwVG, soweit das VGG nichts anderes bestimmt (Art. 37 VGG). Der Beschwerdeführer ist zur Erhebung der Beschwerde berechtigt (Art. 48 Abs. 1 VwVG), hat diese rechtzeitig und formgerecht eingereicht (Art. 50 Abs. 1 und Art. 52 Abs. 1 VwVG) sowie den Vorschuss für die Verfahrenskosten fristgerecht bezahlt (Art. 63 Abs. 4 i.V.m. Art. 21 Abs. 3 VwVG). Auf die Beschwerde ist demnach einzutreten.</w:t>
      </w:r>
    </w:p>
    <w:p>
      <w:r>
        <w:rPr>
          <w:b/>
        </w:rPr>
        <w:t>E. 1.2</w:t>
      </w:r>
    </w:p>
    <w:p>
      <w:r>
        <w:t>Der vorliegende Sachverhalt betrifft die Steuerperiode 2016. In materieller Hinsicht findet daher vorliegend ausschliesslich das am 1. Januar 2010 in Kraft getretene Mehrwertsteuergesetz (MWSTG, AS 2009 5203) bzw. die dazugehörige Mehrwertsteuerverordnung vom 27. November 2009 (MWSTV, AS 2009 6743) Anwendung, auf welche nachfolgend referenziert wird. Nicht zu berücksichtigen sind im vorliegenden Fall namentlich die per 1. Januar 2018 und 1. Januar 2019 in Kraft getretenen Änderungen des MWSTG (SR 641.20). Soweit im Folgenden auch auf die Rechtsprechung zum früheren Mehrwertsteuergesetz vom 2. September 1999 (aMWSTG, AS 2000 1300) bzw. zur Verordnung vom 22. Juni 1994 über die Mehrwertsteuer (aMWSTV, AS 1994 1464) verwiesen wird, liegt der Grund darin, dass die gesetzlichen Vorschriften soweit hier interessierend inhaltlich nicht geändert haben und die Rechtsprechung für das MWSTG übernommen werden kann.</w:t>
      </w:r>
    </w:p>
    <w:p>
      <w:r>
        <w:rPr>
          <w:b/>
        </w:rPr>
        <w:t>E. 1.3</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oder untersucht weitere Rechtsstandpunkte, für die sich aus den vorgebrachten Rügen oder den Akten nicht zumindest Anhaltspunkte ergeben (BVGE 2010/64 E. 1.4.1).</w:t>
      </w:r>
    </w:p>
    <w:p>
      <w:r>
        <w:rPr>
          <w:b/>
        </w:rPr>
        <w:t>E. 1.5</w:t>
      </w:r>
    </w:p>
    <w:p>
      <w:r>
        <w:t>Gelangt das Gericht trotz genügender Abklärung des Sachverhalts unter Respektierung des Untersuchungsgrundsatzes und aufgrund der (freien) Beweiswürdigung (vgl. Art. 81 Abs. 3 MWSTG) nicht zur Überzeugung, eine rechtserhebliche Tatsache habe sich verwirklicht, so stellt sich die Frage,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(anstelle vieler: Urteil des BGer 2C_715/2013 vom 13. Januar 2014 E. 2.3.3; Urteile des BVGer A-4544/2019 vom 5. Mai 2020, E. 1.6, A-6390/2016 und A-6393/2016 vom 14. September 2017 E. 1.4, m.w.H.).</w:t>
      </w:r>
    </w:p>
    <w:p>
      <w:r>
        <w:rPr>
          <w:b/>
        </w:rPr>
        <w:t>E. 2.1</w:t>
      </w:r>
    </w:p>
    <w:p>
      <w:r>
        <w:t>Der Mehrwertsteuer unterliegen die im Inland von steuerpflichtigen Personen gegen Entgelt erbrachten Leistungen; sie sind steuerbar, soweit das MWSTG keine Ausnahme vorsieht (Inlandsteuer, Art. 18 Abs. 1 MWSTG). Als Leistung gilt die Einräumung eines verbrauchsfähigen wirtschaftlichen Wertes an eine Drittperson in Erwartung eines Entgelts (Art. 3 Bst. c MWSTG). Sie besteht in einer Lieferung oder einer Dienstleistung (vgl. Art. 3 Bst. d und e MWSTG).</w:t>
      </w:r>
    </w:p>
    <w:p>
      <w:r>
        <w:rPr>
          <w:b/>
        </w:rPr>
        <w:t>E. 2.2</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in der hier massgeblichen Fassung, vgl. E. 1.2 [dies gilt auch im Folgenden]). Befreit ist ein Steuerpflichtiger unter anderem, wenn er im Inland innerhalb eines Jahres weniger als Fr. 100'000.-- Umsatz aus steuerbaren Leistungen erzielt, sofern er nicht auf die Befreiung von der Steuerpflicht verzichtet (Art. 10 Abs. 2 Bst. a MWSTG). Die Befreiung von der Steuerpflicht endet, sobald das Total der im letzten Geschäftsjahr erzielten Umsätze die Grenze von Fr. 100'000.-- erreicht hat oder absehbar ist, dass diese Grenze innerhalb von 12 Monaten nach der Aufnahme oder Ausweitung der unternehmerischen Tätigkeit überschritten wird (Art. 14 Abs. 3 MWSTG).</w:t>
      </w:r>
    </w:p>
    <w:p>
      <w:r>
        <w:rPr>
          <w:b/>
        </w:rPr>
        <w:t>E. 2.3</w:t>
      </w:r>
    </w:p>
    <w:p>
      <w:r>
        <w:t>Die Mehrwertsteuer wird vom tatsächlich empfangenen Entgelt berechnet (Art. 24 Abs. 1 Satz 1 MWSTG).</w:t>
      </w:r>
    </w:p>
    <w:p>
      <w:r>
        <w:rPr>
          <w:b/>
        </w:rPr>
        <w:t>E. 2.4.1</w:t>
      </w:r>
    </w:p>
    <w:p>
      <w:r>
        <w:t>Die Veranlagung und Entrichtung der Inlandsteuer erfolgt nach dem Selbstveranlagungsprinzip. Der Steuerpflichtige stellt dabei eigenständig fest, ob er die Voraussetzungen der subjektiven Steuerpflicht erfüllt (Art. 10 und 66 MWSTG), ermittelt die Steuerforderung selber (Art. 71 MWSTG) und begleicht diese innerhalb von 60 Tagen nach Ablauf der Abrechnungsperiode (Art. 86 Abs. 1 MWSTG). Dies bedeutet vorab, dass der Leistungserbringer bereits für die Feststellung seiner Mehrwertsteuerpflicht selbst verantwortlich ist und sich gegebenenfalls unaufgefordert anzumelden hat (Art. 56 Abs. 1 aMWSTG; vgl. Urteil des BVGer A-4922/2012 vom 14. Juni 2013 E. 2.3). Bei festgestellter Steuerpflicht hat er sodann selbst und unaufgefordert über seine Umsätze und Vorsteuern abzurechnen und die Steuer an die ESTV abzuliefern (vgl. Urteil des BGer 2C_1077/2012, 2C_1078/2012 vom 24. Mai 2014 E. 2.1; vgl. Urteil des BVGer A-3050/2015 vom 6. Oktober 2015 E. 2.5.1, m.w.H.). Allerdings kann die ESTV bei steuerpflichtigen Personen Kontrollen durchführen (Art. 78 MWSTG). Solche Kontrollen sind innert 360 Tagen seit der Ankündigung mit einer Einschätzungsmitteilung abzuschliessen, wobei darin der Umfang der Steuerforderung für den kontrollierten Zeitraum festgehalten wird (Art. 78 Abs. 5 MWSTG; Urteil des BGer 2C_326/2015 vom 24. November 2016 E. 3.2; zum Ganzen: Urteil des BVGer A-1618/2018 vom 26. März 2019 E. 2.2.1).</w:t>
      </w:r>
    </w:p>
    <w:p>
      <w:r>
        <w:rPr>
          <w:b/>
        </w:rPr>
        <w:t>E. 2.4.2</w:t>
      </w:r>
    </w:p>
    <w:p>
      <w:r>
        <w:t>Zu den Pflichten der mehrwertsteuerpflichtigen Person gehört insbesondere auch die ordentliche Buchführung. Der Mehrwertsteuerpflichtige hat seine Geschäftsbücher und Aufzeichnungen nach den handelsrechtlichen Grundsätzen zu führen (Art. 70 Abs. 1 MWSTG). Die Buchführung ist das lückenlose und planmässige Aufzeichnen sämtlicher Geschäftsvorfälle einer Unternehmung auf der Grundlage von Belegen. Sie schlägt sich in den Geschäftsbüchern und den zugehörigen Aufzeichnungen nieder (vgl. Urteile des BVGer A-4580/2014 vom 9. Juni 2015 E. 3.4.2 und A-6198/2012 vom 3. September 2013 E. 2.7.2; Beatrice Blum, in: Geiger/Schluckebier [Hrsg.], MWSTG Kommentar, 2012 [nachfolgend: MWSTG Kommentar], Rz. 3 ff. zu Art. 70 MWSTG; vgl. zum Ganzen: Urteil des BVGer A-3050/2015 vom 6. Oktober 2015 E. 2.5.2). Da das Selbstveranlagungsprinzip auch die Anmeldepflicht umfasst (Art. 66 MWSTG und vorne E. 2.4.1), sind auch Unternehmerinnen und Unternehmer, die noch nicht mehrwertsteuerpflichtig sind, gehalten, durch geeignete Massnahmen periodisch zu überprüfen, ob sie der Mehrwertsteuerpflicht unterliegen (BVGE 2009/60 E. 2.5.1; Urteile des BVGer A-4922/2012 vom 14. Juni 2013 E. 2.4.2 und 3.1, A-4876/2012 vom 11. März 2013 E. 2.6.2).</w:t>
      </w:r>
    </w:p>
    <w:p>
      <w:r>
        <w:rPr>
          <w:b/>
        </w:rPr>
        <w:t>E. 2.4.3</w:t>
      </w:r>
    </w:p>
    <w:p>
      <w:r>
        <w:t>Nach der Rechtsprechung ist die steuerpflichtige Person, die einen bargeldintensiven Betrieb führt, ohne Einschränkung zur Führung eines Kassabuchs verpflichtet. Bei einem bargeldintensiven Betrieb hat der Steuerpflichtige die Bareinnahmen und -ausgaben fortlaufend, lückenlos und grundsätzlich tagfertig in einem Kassabuch aufzuzeichnen und täglich einen Kassensturz vorzunehmen (Urteile des BGer 2C_885/2019 vom 5. März 2020 E. 5.2, 2C_530/2019 vom 23. Januar 2020 E. 4.3.1). Nur auf diese Weise ist gewährleistet, dass die erfassten Bareinnahmen vollständig sind, das heisst den effektiven Bareinnahmen entsprechen. Die zentrale Bedeutung eines korrekt geführten Kassabuchs ist allen Steuerarten gleichermassen eigen (Urteil des BGer 2C_950/2015 vom 11. März 2016 E. 4.2; Urteile des BVGer A-1098/2019 vom 10. September 2019 E. 2.2.2 mit zahlreichen Hinweisen, A-1133/2018 vom 26. September 2018 E. 2.4.3 und A-7088/2016 vom 11. Dezember 2017 E. 2.3.3, A-5875/2009 vom 16. Juni 2010 E. 3.2.2 und E. 3.3). Wer einen bargeldintensiven Betrieb unterhält und weder tägliche Kassenstürze vornimmt noch überhaupt ein tagfertiges Kassabuch führt, nimmt billigend in Kauf, dass eine Unterbesteuerung eintritt und akzeptiert eine Ermessenseinschätzung (Urteile des BGer 2C_885/2019 vom 5. März 2020 E. 5.2, 2C_530/2019 vom 23. Januar 2020 E. 4.3.1, je m.w.H.).</w:t>
      </w:r>
    </w:p>
    <w:p>
      <w:r>
        <w:rPr>
          <w:b/>
        </w:rPr>
        <w:t>E. 2.5.1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Abs. 1 MWSTG) und die Festsetzung der Steuerforderung erfolgt mit einer Einschätzungsmitteilung (Art. 79 Abs. 2 MWSTG; weiterführend zum Ganzen: Urteil des BGer 2C_885/2019 vom 5. März 2020 E. 5.3 m.w.H.; Urteile des BVGer A-1098/2019 vom 10. September 2019 E. 2.2.2, A-5892/2018 vom 4. Juli 2019 E. 2.5.2, je m.w.H.).</w:t>
      </w:r>
    </w:p>
    <w:p>
      <w:r>
        <w:rPr>
          <w:b/>
        </w:rPr>
        <w:t>E. 2.5.2</w:t>
      </w:r>
    </w:p>
    <w:p>
      <w:r>
        <w:t>Sind die Voraussetzungen für eine Ermessenstaxation erfüllt, so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Im Gegenteil, es soll vermieden werden, dass Steuerpflichtige, die ihren Mitwirkungspflichten nicht nachkommen, am Ende bessergestellt werden als solche, die es tun.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(vgl. statt vieler: Urteil des BGer 2C_1077/2012, 2C_1078/2012 vom 24. Mai 2014 E. 2.3, m.w.H.; Urteile des BVGer A-5892/2018 vom 4. Juli 2019 E. 2.6.1, A-7088/2016 vom 11. Dezember 2017 E. 2.5.1 und A-874/2017 vom 23. August 2017 E. 2.6.3, m.w.H.).</w:t>
      </w:r>
    </w:p>
    <w:p>
      <w:r>
        <w:rPr>
          <w:b/>
        </w:rPr>
        <w:t>E. 2.5.3</w:t>
      </w:r>
    </w:p>
    <w:p>
      <w:r>
        <w:t>Ist die ESTV verpflichtet, eine Schätzung nach pflichtgemässem Ermessen vorzunehmen, hat sie diejenige Schätzungsmethode zu wählen, die den individuellen Verhältnissen im Betrieb der steuerpflichtigen Person soweit als möglich Rechnung trägt, auf plausiblen Annahmen beruht und deren Ergebnis der wirklichen Situation möglichst nahe kommt (statt vieler: Urteile des BGer 2C_950/2015 vom 11. März 2016 E. 4.5, 2C_576/2015 vom 29. Februar 2016 E. 3.4 und 2C_1077/2012, 2C_1078/2012 vom 24. Mai 2014 E. 2.3).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(statt vieler: Urteile des BVGer A-874/2017 vom 23. August 2017 E. 2.6.4, A-3050/2015 vom 6. Oktober 2015 E. 2.7.2 und A-665/2013 vom 10. Oktober 2013 E. 2.6.2, je m.w.H.; Pascal Mollard, TVA et taxation par estimation, ASA 69 S. 530 ff.).</w:t>
      </w:r>
    </w:p>
    <w:p>
      <w:r>
        <w:rPr>
          <w:b/>
        </w:rPr>
        <w:t>E. 2.5.4</w:t>
      </w:r>
    </w:p>
    <w:p>
      <w:r>
        <w:t>Die Vorinstanz zieht bei ihrer Arbeit Erfahrungszahlen heran, sei es im Rahmen der Prüfung der Voraussetzungen für eine Ermessensveranlagung, sei es für die Vornahme der Schätzung. Nach der Rechtsprechung ist das Abstellen auf Erfahrungszahlen grundsätzlich nicht zu beanstanden (statt vieler: BVGE 2009/60 E. 2.8; Urteil des BVGer A-1133/2018 vom 26. September 2018 E. 2.7). 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ordnungsgemäss geführten Geschäftsbüchern gleichgestellt wären (Zweifel/Hunziker, Beweis und Beweislast im Steuerverfahren bei der Prüfung von Leistung und Gegenleistung unter dem Gesichtswinkel des Drittvergleichs [«dealing at arm's length»], ASA 77 S. 658 ff., S. 665, S. 679, m.w.H.; statt vieler: Urteile des BVGer A-1133/2018 vom 26. September 2018 E. 2.7.1 und A-5175/2015 vom 1. März 2016 E. 2.7.1). Erfahrungszahlen drücken Gesetzmässigkeiten in den Verdienstverhältnissen einzelner Branchen aus. Diese Funktion kommt ihnen aber nur dann zu, wenn sie auf einer sicheren Grundlage beruhen (Zweifel/Hunziker, a.a.O., S. 679). Sollen Erfahrungswerte Aufschluss über durchschnittliche Umsatzziffern geben, müssen sie breit abgestützt sein und sollten nebst der Betriebsstruktur und den regionalen Gegebenheiten auch die Betriebsgrösse berücksichtigen (Mollard, a.a.O., S. 553).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(BVGE 2009/60 E. 2.8.2; statt vieler: Urteile des BVGer A-1133/2018 vom 26. September 2018 E. 2.7.2 und A-5175/2015 vom 1. März 2016 E. 2.7.2; ausführlich: Urteil des BVGer A-3821/2017 vom 24. April 2019 E. 2.4.3). Aus der Begründungspflicht folgt, dass die Steuerbehörde der steuerpflichtigen Person die Grundlagen der Erfahrungszahlen kundzugeben hat (Zweifel/Hunziker, a.a.O., S. 682 f.). Insbesondere hat die Behörde der steuerpflichtigen Person die Art und Weise, wie die Ermessensveranlagung zustande gekommen ist - umfassend auch die Zahlen und Erfahrungswerte - bekannt zu geben. Sodann hat sie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Nur so ist es der steuerpflichtigen Person möglich, die Veranlagung sachgerecht anzufechten (BVGE 2009/60 E. 2.8.4, m.w.H.; Urteile des BVGer A-5892/2018 vom 4. Juli 2019 E. 2.7.3, A-1133/2018 vom 26. September 2018 E. 2.7.3 und A-5175/2015 vom 1. März 2016 E. 2.7.3). 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Inwiefern die Verwaltung ihr Ermessen ausgeübt hat, ist in der Entscheidbegründung darzulegen (BVGE 2009/60 E. 2.8.4; Urteile des BVGer A-1133/2018 vom 26. September 2018 E. 2.7.4 und A-5175/2015 vom 1. März 2016 E. 2.7.4, m.w.H.).</w:t>
      </w:r>
    </w:p>
    <w:p>
      <w:r>
        <w:rPr>
          <w:b/>
        </w:rPr>
        <w:t>E. 2.5.5</w:t>
      </w:r>
    </w:p>
    <w:p>
      <w:r>
        <w:t>Das Bundesverwaltungsgericht überprüft das Vorliegen der Voraussetzungen für die Vornahme einer Ermessenstaxation uneingeschränkt. 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(vgl. vorne E. 1.3) eine gewisse Zurückhaltung und reduziert dergestalt seine Prüfungsdichte. Grundsätzlich setzt das Bundesverwaltungsgericht nur dann sein eigenes Ermessen an die Stelle desjenigen der Vorinstanz, wenn dieser bei der Schätzung erhebliche Ermessensfehler unterlaufen sind. Diese Praxis wurde vom Bundesgericht wiederholt bestätigt (vgl. Urteile des BGer 2C_950/2015 vom 11. März 2016 E. 4.5, 2C_970/2012 vom 1. April 2013 E. 4.3 und 2C_426/2007 vom 22. November 2007 E. 4.3; Urteile des BVGer A-5892/2018 vom 4. Juli 2019 E. 2.8.1, A-1133/2018 vom 26. September 2018 E. 2.8.1).</w:t>
      </w:r>
    </w:p>
    <w:p>
      <w:r>
        <w:rPr>
          <w:b/>
        </w:rPr>
        <w:t>E. 2.5.6</w:t>
      </w:r>
    </w:p>
    <w:p>
      <w:r>
        <w:t>Für das Vorliegen der Voraussetzungen einer Ermessenseinschätzung ist nach der allgemeinen Beweislastregel die ESTV beweisbelastet (E. 1.5). Sind die Voraussetzungen erfüllt («erste Stufe») und erscheint die vorinstanzliche Schätzung nicht bereits im Rahmen der durch das Bundesverwaltungsgericht mit der gebotenen Zurückhaltung (E. 2.5.5) vorzunehmenden Prüfung als pflichtwidrig («zweite Stufe»), obliegt es - in Umkehr der allgemeinen Beweislast - der steuerpflichtigen Person, den Nachweis für die Unrichtigkeit der Schätzung zu erbringen («dritte Stufe»). Weil das Ergebnis der Ermessensveranlagung selbst auf einer Schätzung beruht, kann sich die steuerpflichtige Person gegen eine zulässigerweise durchgeführte Ermessenseinschätzung nicht mit allgemeiner Kritik zur Wehr setzen. Namentlich kann sie sich nicht darauf beschränken, die Kalkulationsgrundlagen der Ermessenseinschätzung pauschal zu kritisieren. Vielmehr hat sie anhand von Belegen nachzuweisen, dass die von der ESTV vorgenommene Schätzung offensichtlich unrichtig ist (statt vieler: Urteile des BGer 2C_1077/2012, 2C_1078/2012 vom 24. Mai 2014 E. 2.5 und 2C_970/2012 vom 1. April 2013 E. 4.3; vgl. zum Ganzen statt vieler: Urteil des BVGer A-7088/2016 vom 11. Dezember 2017 E. 2.6.3, m.w.H.). Gelingt es der steuerpflichtigen Person nicht, zu beweisen, dass das Ergebnis der Ermessenseinschätzung klarerweise nicht mit den tatsächlichen Gegebenheiten übereinstimmt, hat sie die Folgen der Beweislosigkeit zu tragen und es bleibt bei der bisherigen Schätzung. Dies ist das Resultat einer Situation, die sie letztlich selber zu vertreten hat. Die steuerpflichtige Person muss somit die Ungewissheit tragen, die eine Schätzung zwangsläufig mit sich bringt (vgl. Urteile des BVGer A-5892/2018 vom 4. Juli 2019 E. 2.8, A-1133/2018 vom 26. September 2018 E. 2.8.2 und A-7215/2014 vom 2. September 2015 E. 2.8.3).</w:t>
      </w:r>
    </w:p>
    <w:p>
      <w:r>
        <w:rPr>
          <w:b/>
        </w:rPr>
        <w:t>E. 2.6</w:t>
      </w:r>
    </w:p>
    <w:p>
      <w:r>
        <w:t>Die Steuerforderung ist innert 60 Tagen nach Ablauf der Abrechnungsperiode durch die steuerpflichtige Person zu begleichen (Zahlungsfrist; Art. 86 Abs. 1 MWSTG). Bei verspäteter Zahlung ist ohne Mahnung und unabhängig vom Verschulden ein Verzugszins zu bezahlen (Art. 87 MWSTG). Der Verzugszinssatz beläuft sich gemäss der massgeblichen Verordnung für die Zeit bis zum 31. Dezember 2009 auf 5 % und vom 1. Januar 2010 bis zum 31. Dezember 2011 auf 4.5 %. Ab dem 1. Januar 2012 beträgt er noch 4 % (Art. 108 Bst. a MWSTG i.V.m. Art. 1 Abs. 2 Bst. a-c der Verordnung des EFD vom 11. Dezember 2009 über die Verzugs- und Vergütungszinssätze [SR 641.207.1]). Vom 20. März 2020 bis zum 31. Dezember 2020 ist bei verspäteter Zahlung der Mehrwertsteuer allerdings kein Verzugszins geschuldet (Art. 2 der Verordnung über den befristeten Verzicht auf Verzugszinsen bei verspäteter Zahlung von Steuern, Lenkungsabgaben und Zollabgaben sowie Verzicht auf die Darlehensrückerstattung durch die Schweizerische Gesellschaft für Hotelkredit vom 20. März 2020 [SR 641.207.2]). Sind mehrere Abrechnungsperioden betroffen wird der Verzugszins praxisgemäss ab dem mittleren Verfall erhoben (Urteile des BVGer A-719/2018 vom 2. Mai 2019 E. 3.8 und A-6905/2015 vom 22. Juni 2016 E. 15.1, m.w.H.).</w:t>
      </w:r>
    </w:p>
    <w:p>
      <w:r>
        <w:rPr>
          <w:b/>
        </w:rPr>
        <w:t>E. 2.7</w:t>
      </w:r>
    </w:p>
    <w:p>
      <w:r>
        <w:t>Die Frage, ob ein Unternehmer im eigenen Namen auftritt oder nicht, ist einerseits für den Tatbestand der Selbständigkeit massgeblich und nach dem neuen Recht ausdrückliches Erfordernis für die subjektive Steuerpflicht (Art. 10 Abs. 1 Bst. b MWSTG). Andererseits ist das Auftreten in eigenem Namen im Aussenverhältnis für die Zurechnung der einzelnen Umsätze bzw. die Bestimmung des mehrwertsteuerlichen Leistungserbringers entscheidend (vgl. Art. 20 Abs. 1 MWSTG). Das Handeln wird grundsätzlich demjenigen mehrwertsteuerlich zugerechnet, der nach aussen, gegenüber Dritten im eigenen Namen als Leistungserbringer auftritt (zum Ganzen statt vieler: Urteil des BGer 2C_1001/2015 vom 5. Juli 2016 E. 3.2; BVGE 2016/23 E. 2.2.2; Urteil des BVGer A-3050/2015 vom 6. Oktober 2015 E. 2.2.2; Ralf Imstepf, Der mehrwertsteuerliche «Aussenauftritt», ASA 82 S. 451 ff.).</w:t>
      </w:r>
    </w:p>
    <w:p>
      <w:r>
        <w:rPr>
          <w:b/>
        </w:rPr>
        <w:t>E. 2.8</w:t>
      </w:r>
    </w:p>
    <w:p>
      <w:r>
        <w:t>Ob eine Tätigkeit im Sinn von Art. 10 Abs. 1 MWSTG (vgl. vorne E. 2.2) als selbständig oder unselbständig zu qualifizieren ist, bestimmt sich rechtsprechungsgemäss aufgrund einer umfassenden Würdigung sämtlicher einschlägiger Faktoren (Urteile des BGer 2C_554/2010 vom 21. September 2011 E. 2.2, 2C_426/2008 und 2C_432/2008 vom 18. Februar 2009 E. 2.2, 2C_430/2008 vom 18. Februar 2009 E. 2.2). Dabei hat die Beurteilung der Tätigkeit in erster Linie nach wirtschaftlichen, tatsächlichen Kriterien zu erfolgen (sog. «wirtschaftliche Betrachtungsweise»). Die zivil- bzw. vertragsrechtliche Sicht ist nicht entscheidend, hat aber immerhin Indizwirkung (vgl. statt vieler: Urteil des BVGer A-5431/2015 vom 28. April 2016 E. 2.2.4, mit weiteren Hinweisen). Wichtige Indizien für die selbständige Ausübung einer Tätigkeit sind insbesondere das Handeln und Auftreten in eigenem Namen gegenüber Dritten (sog. Aussenauftritt, vgl. soeben E. 2.7), das Tragen des unternehmerischen Risikos (Gewinn und Verlust), die Wahlfreiheit, eine Aufgabe anzunehmen oder nicht, und die Freiheit, die Erfüllung der Aufgaben selbständig organisieren zu können. Eine Rolle spielen können ferner die Beschäftigung von Personal, die Vornahme erheblicher Investitionen, eigene Geschäftsräumlichkeiten, verschiedene und wechselnde Auftraggeber sowie die betriebswirtschaftliche und arbeitsorganisatorische Unabhängigkeit (statt vieler: BGE 138 II 251 E. 2.4.2; Urteile des BGer 2C_1001/2015 vom 5. Juli 2016 E. 3.4, 2C_554/2010 vom 21. September 2011 E. 2.2; Urteil des BVGer A-3050/2015 vom 6. Oktober 2015 E. 2.2.1). Weitere - aber nicht allein ausschlaggebende - Indizien für die mehrwertsteuerliche Behandlung einer Tätigkeit bildet ferner die Art der Abrechnung der Sozialversicherungsbeiträge (statt vieler: Urteil des BGer 2A.47/2006 vom 6. Juli 2006 E. 3.2). Aufgrund der verschiedenen Zielsetzungen der betreffenden Rechtsgebiete können sich jedoch zwischen der Beurteilung nach mehrwertsteuerlichen Überlegungen und jener nach sozialversicherungsrechtlichen Regeln Abweichungen ergeben. Es ist somit durchaus möglich, dass ein und dieselbe Person in den verschiedenen Bereichen unterschiedlich eingestuft wird. Letztlich ist angesichts des Wesens der Mehrwertsteuer als allgemeine Verbrauchsteuer der Begriff der Selbständigkeit eher weit zu verstehen (zum Ganzen: Urteile des BVGer A-904/2017 vom 18. Dezember 2017 E. 3.2, A-565/2014 vom 27. August 2014 E. 2.2.2, A-6180/2012 vom 3. September 2013 E. 2.2.2 f.).</w:t>
      </w:r>
    </w:p>
    <w:p>
      <w:r>
        <w:rPr>
          <w:b/>
        </w:rPr>
        <w:t>E. 3.1</w:t>
      </w:r>
    </w:p>
    <w:p>
      <w:r>
        <w:t>Im vorliegenden Fall hat die Vorinstanz den Umsatz des Beschwerdeführers ermessensweise ermittelt. Aufgrund der Tatsache, dass die Umsatzschätzung betreffend das Jahr 2015 einen Umsatz von über Fr. 100'000 ergab, hat sie dessen Steuerpflicht per 1. Januar 2016 festgestellt (vgl. dazu E. 2.2). Der Beschwerdeführer bestreitet sowohl die Zulässigkeit der Ermessenseinschätzung als auch deren Höhe. In einem ersten Schritt ist deshalb darüber zu befinden, ob die ESTV zu Recht das Vorliegen der Voraussetzungen für eine Schätzung bejaht hat (E. 3.2). Erst und nur falls dies zutrifft, gilt es in einem zweiten Schritt zu überprüfen, ob sich die Ermessensveranlagung in ihrer Höhe als korrekt erweist und die Vorinstanz zu Recht davon ausgegangen ist, dass der Umsatz den Betrag von Fr. 100'000 übersteigt, womit der Beschwerdeführer steuerpflichtig geworden ist (E. 3.3 f.).</w:t>
      </w:r>
    </w:p>
    <w:p>
      <w:r>
        <w:rPr>
          <w:b/>
        </w:rPr>
        <w:t>E. 3.2.1</w:t>
      </w:r>
    </w:p>
    <w:p>
      <w:r>
        <w:t>Die Vorinstanz begründet die Vornahme der Ermessenseinschätzung mit lediglich summarischen bzw. lückenhaften Aufzeichnungen und insbesondere dem fehlenden Kassabuch des Beschwerdeführers. Die nachgereichten Tagesrapporte würden nicht dem erforderlichen Kassabuch für bargeldintensive Betriebe entsprechen. Die Tagesrapporte würden lediglich die Erträge enthalten, weswegen eine regelmässige Kontrolle der Saldi nicht möglich sei. Die Buchhaltung würde den Anforderungen an einen bargeldintensiven Betrieb nicht genügen. Die Aussagekraft der aktenkundigen und die Steuerperiode 2015 betreffenden Belege sei nur beschränkt und nicht geeignet, die vom Beschwerdeführer erzielten Umsätze abschliessend festzustellen. Daran ändere auch die mit Schreiben vom 2. November 2019 ins Recht gelegte Aufstellung «A._______ Taxi Service, Einzelfirma 2015» nichts, seien daraus doch keineswegs fortlaufende, lückenlose und zeitnahe Ausgaben zu entnehmen. Weiterhin nicht belegt seien insbesondere die Verpflegungs- und Benzinkosten im Jahr 2015, welche lediglich in einem Gesamtbetrag ausgewiesen würden. Ebenfalls nur monatlich aufgeführt würden die vom Beschwerdeführer erzielten Umsätze. Tägliche Kassenstürze seien somit auch mithilfe dieser Aufstellung ausgeschlossen, denn es sei unmöglich zu bestimmen, wieviel Geld an einem bestimmten Tag in der Kasse gewesen sei. Bei nur periodisch zusammengefassten Buchungen wäre mittels separater Journale der Ein- und Ausgaben sicherzustellen, dass die Prüfspur der jeweiligen Einzelbeträge gewährleistet bliebe. Nach der Rechtsprechung war der Beschwerdeführer gehalten, durch geeignete Massnahmen periodisch zu überprüfen, ob er die Voraussetzungen der Steuerpflicht erfüllt (vgl. dazu vorne E. 2.4.1 f.). Ein Taxibetrieb der vorliegenden Art ist ein bargeldintensiver Betrieb (was auch unbestritten ist; vgl. im Übrigen auch Urteil des BGer 2C_569/2012 vom 6. Dezember 2012 E. 4; Urteile des BVGer A-104/2013 vom 22. Juli 2013 E. 3.1.2, A-4922/2012 vom 14. Juni 2013 E. 3.1, A-4876/2012 vom 11. März 2013 E. 3.1.2), weshalb die Führung eines tagfertigen Kassabuches zwingend erforderlich ist bzw. gewesen wäre. Die Bareinnahmen und Barausgaben müssen darin fortlaufend, lückenlos und zeitnah aufgezeichnet und durch tägliche Kassenstürze kontrolliert werden (vgl. E. 2.4.3; vgl. auch Urteil des BGer 2A.109/2005 vom 10. März 2006 E. 2.2 und E. 4.3 mit ähnlicher Sachverhaltskonstellation). Dies gilt auch für den Beschwerdeführer, denn für die ihm obliegende periodische Überprüfung der Steuerpflicht wäre die Führung eines tagfertigen Kassabuchs ebenfalls erforderlich gewesen (vgl. vorne E. 2.4.1 sowie Urteil des BVGer A-4922/2012 vom 14. Juni 2013 E. 3.1). Auch unter der Berücksichtigung der erst im Verlaufe des Verfahrens vor Bundesverwaltungsgericht eingereichten Unterlagen ist der Vorinstanz zuzustimmen, dass der Beschwerdeführer kein Kassabuch im vorstehend genannten Sinn geführt hat: Die vom Beschwerdeführer eingereichten Tagesrapporte (Vernehmlassungsbeilage 11, 13) beinhalten nur die Einnahmen, womit keine Kontrolle der Saldi möglich ist, wie die Vorinstanz zu Recht geltend macht. Auch die mit Schreiben vom 2. November 2019 eingereichte Auflistung «A._______ Taxi Service, Einzelfirma 2015», welche die Einnahmen und auch gewisse Ausgaben nur monatlich aufführt, genügt den Anforderungen an ein ordentlich geführtes Kassabuch nicht. Bereits angesichts des nicht erfüllten Erfordernisses eines tagfertigen Kassabuchs war die ESTV zur Ermessenseinschätzung befugt und verpflichtet.</w:t>
      </w:r>
    </w:p>
    <w:p>
      <w:r>
        <w:rPr>
          <w:b/>
        </w:rPr>
        <w:t>E. 3.3</w:t>
      </w:r>
    </w:p>
    <w:p>
      <w:r>
        <w:t>Im Nachfolgenden ist nun zu prüfen, ob die Vorinstanz die Ermessensveranlagung pflichtgemäss vorgenommen hat (sog. "zweite Stufe" [E. 2.5.3 f.]; dazu nachfolgend E. 3.4) und, falls dies zu bejahen ist, ob es dem Beschwerdeführer gelingt, die Unrichtigkeit der vorinstanzlichen Schätzung nachzuweisen (sog. "dritte Stufe" [E. 2.5.6]; dazu nachfolgend E. 3.5). Zu berücksichtigen ist dabei, dass die Schätzung des Umsatzes des Jahres 2015 im vorliegenden Fall einzig für die Frage des Eintritts der Steuerpflicht des Beschwerdeführers per 1. Januar 2016 entscheidend ist (vgl. E. 3.1 und 2.2.). Es muss somit im Folgenden einzig geprüft werden, ob die Schätzung richtigerweise einen Umsatz von über Fr. 100'000.-- im Jahr 2015 ergeben hat, hingegen muss nicht im Detail überprüft werden, ob die Schätzung (soweit sie richtigerweise Fr. 100'000.-- übersteigt) betragsmässig korrekt ist.</w:t>
      </w:r>
    </w:p>
    <w:p>
      <w:r>
        <w:rPr>
          <w:b/>
        </w:rPr>
        <w:t>E. 3.4</w:t>
      </w:r>
    </w:p>
    <w:p>
      <w:r>
        <w:t>Zunächst ist also zu prüfen, ob das Vorgehen der Vorinstanz bei der Ermessensveranlagung zu schützen ist (sog. zweite Stufe, E. 2.5.3 f.). Das Bundesverwaltungsgericht übt bei dieser Prüfung Zurückhaltung und setzt nur dann sein eigenes Ermessen an die Stelle desjenigen der Vorinstanz, wenn dieser erhebliche Ermessensfehler unterlaufen sind, sie ihr Ermessen mit anderen Worten nicht pflichtgemäss ausgeübt hat (E. 2.5.5).</w:t>
      </w:r>
    </w:p>
    <w:p>
      <w:r>
        <w:rPr>
          <w:b/>
        </w:rPr>
        <w:t>E. 3.4.1</w:t>
      </w:r>
    </w:p>
    <w:p>
      <w:r>
        <w:t>Die Vorinstanz stützte sich, wie sie im Einspracheentscheid (Ziff. 3.5) ausführt, bei ihrer Umsatzkalkulation auf die Daten auf den Fahrtenschreiberkarten aus dem Jahr 2015, womit die total gefahrenen Kilometer berechnet werden konnten. Gemäss Praxis der ESTV wurde für private Kilometer zudem eine Pauschale von 100 Kilometer pro Arbeitswoche gewährt. Betreffend das Fahrzeug Modell C._______ seien den Unterlagen 46 Arbeitswochen zu entnehmen und betreffend das Fahrzeug Modell B._______ sechs Arbeitswochen. Die geschäftlich gefahrenen Kilometer wurden anschliessend mit dem Erfahrungswert der ESTV für den Umsatz pro geschäftlich gefahrenen Kilometer für Taxichauffeure in der Stadt Basel (Fr. 2.40 pro km) multipliziert, was zu einem kalkulierten Umsatz in der Höhe von Fr. 119'978 führte.</w:t>
      </w:r>
    </w:p>
    <w:p>
      <w:r>
        <w:rPr>
          <w:b/>
        </w:rPr>
        <w:t>E. 3.4.2</w:t>
      </w:r>
    </w:p>
    <w:p>
      <w:r>
        <w:t>Die Methodik der Ermittlung der geschäftlich gefahrenen Kilometer und die Multiplikation mit einem durchschnittlichen Preis pro Kilometer (Erfahrungszahl) wurde sowohl vom Bundesverwaltungsgericht als auch vom Bundesgericht in anderen Fällen bereits überprüft und als sachgerecht beurteilt (vgl. Urteile des BGer 2C_1010/2018 vom 21. Dezember 2018 E. 2.3, 2C_950/2015 vom 11. März 2016 E. 5.2, 2A.109/2005 vom 10. März 2006 E. 4.3 sowie 2C_835/2011 vom 4. Juni 2012 E. 4.5; Urteile des BVGer A-7215/2014 vom 2. September 2015 E. 3.5 ff., A-4918/2012 vom 2. Juli 2013 E. 3.3 ff., A-1237/2012 vom 23. Oktober 2012 E. 3.4). Der pauschale Abzug von 100 Kilometer pro Woche, welche als «private Kilometer» eingestuft werden, ist ebenfalls nicht zu beanstanden (vgl. Urteile des BGer 2C_1010/2018 vom 21. Dezember 2018 E. 2.2, 2C_569/2012 vom 6. Dezember 2012 E. 6, 2C_206/2012 vom 6. September 2012 E. 4). Die von der Vorinstanz angewendete Methode ist somit zulässig.</w:t>
      </w:r>
    </w:p>
    <w:p>
      <w:r>
        <w:rPr>
          <w:b/>
        </w:rPr>
        <w:t>E. 3.4.3</w:t>
      </w:r>
    </w:p>
    <w:p>
      <w:r>
        <w:t>Die Vorinstanz hat sodann die Anzahl Kilometer mit einem Erfahrungswert von Fr. 2.40 multipliziert. Nach den Angaben der Vorinstanz ermittelte sie diesen Erfahrungswert gestützt auf Daten von 43 angestellten Chauffeuren aus mehreren Taxibetrieben der Stadt Basel, erhoben in den Jahren 2009 bis 2012. Dabei handle es sich sowohl um Tag- als auch um Nachtchauffeure, um Vollzeit- und Teilzeitchauffeure. Der Mittelwert betrage dabei Fr. 2.31 pro Kilometer. Um die Trinkgelder zu berücksichtigen, welche von den angestellten Taxifahrern abgeliefert werden müssen, nicht jedoch von Selbständigerwerbenden, sei dieser Betrag auf Fr. 2.40 Umsatz pro geschäftlich gefahrenem Kilometer aufgerundet worden, was einem geschätzten Trinkgeld von etwa 5% entspreche. Im Erfahrungswert enthalten seien auch diverse Fahrten zu Spezialtarifen wie Kundenkarten, Flughafenfahrten, Kreditfahrten, Fahrten für grosse Chemiekonzerne etc. (zum Ganzen: Einspracheentscheid, S. 9). Die Vorinstanz hat somit den von ihr angewendeten Erfahrungswert genügend geschildert und begründet (vgl. dazu vorne E. 2.5.4). Zusätzlich dazu illustrierte sie anhand diverser, aus den Tagesrapporten des Beschwerdeführers entnommenen Beispielen, dass der Kilometerpreis des Beschwerdeführers nicht unter dem angesetzten Erfahrungswert gelegen hat (siehe dazu Einspracheentscheid, S. 10 f.). Der Erfahrungswert in der Höhe von Fr. 2.40 pro geschäftlich gefahrenem Kilometer kann (im Rahmen der vorliegenden Prüfung unter «Stufe 2», vgl. vorne E. 2.5.3 f.) nicht beanstandet werden und wurde bereits in dieser Höhe von der Rechtsprechung bestätigt (so in Urteil des BGer 2A.109/2005 vom 10. März 2006 E. 4.3; vgl. ferner zu gutgeheissenen Kilometeransätzen von gar über Fr. 2.40 pro geschäftlich gefahrenem Kilometer Urteile des BGer 2C_1010/2018 vom 21. Dezember 2018 E. 2.3 f. sowie 2C_835/2011 vom 4. Juni 2012 E. 2.5 m.w.H.).</w:t>
      </w:r>
    </w:p>
    <w:p>
      <w:r>
        <w:rPr>
          <w:b/>
        </w:rPr>
        <w:t>E. 3.5</w:t>
      </w:r>
    </w:p>
    <w:p>
      <w:r>
        <w:t>Auf der sog. dritten Stufe obliegt es nun dem Beschwerdeführer aufzuzeigen bzw. nachzuweisen, in welchen Punkten die Schätzung der Vorinstanz offensichtlich unrichtig sein soll (vgl. vorne E. 2.5.6). Im Folgenden ist somit auf die Vorbringen des Beschwerdeführers einzugehen, mit welchen er die Ermessenseinschätzung beanstanden möchte.</w:t>
      </w:r>
    </w:p>
    <w:p>
      <w:r>
        <w:rPr>
          <w:b/>
        </w:rPr>
        <w:t>E. 3.5.1</w:t>
      </w:r>
    </w:p>
    <w:p>
      <w:r>
        <w:t>Was den Ansatz von Fr. 2.40 anbelangt (welcher wie erläutert im Grundsatz nicht zu beanstanden ist, siehe vorne E. 3.4.3), so macht der Beschwerdeführer geltend, dass der für ihn zu wählende Ansatz niedriger sein müsse, nämlich «schätzungsweise unter Fr. 2.00». Jedoch hat er die Richtigkeit dieses eigenen Ansatzes von «schätzungsweise unter Fr. 2.00» nicht nachvollziehbar begründet und auch nicht mit Belegen untermauert. Auch sein Vorbringen, dass ein Flughafentaxi mit Stadttaxis nicht verglichen werden könne und ein Flughafentaxi den Preis von Fr. 2.40 nicht erreichen könne, hat er nicht bewiesen. Ebensowenig ist dem Beschwerdeführer der Nachweis gelungen, dass der Ansatz der Vorinstanz offensichtlich unrichtig ist.</w:t>
      </w:r>
    </w:p>
    <w:p>
      <w:r>
        <w:rPr>
          <w:b/>
        </w:rPr>
        <w:t>E. 3.5.2</w:t>
      </w:r>
    </w:p>
    <w:p>
      <w:r>
        <w:t>Der Beschwerdeführer macht sodann - und zwar erstmals im Verfahren vor dem Bundesverwaltungsgericht - geltend, dass das Fahrzeug Modell B._______ auch noch von einer weiteren Fahrerin gelenkt worden sei, welche selbständig Umsätze erwirtschaftet habe. Hierzu reicht der Beschwerdeführer neu Fahrtenschreiberkarten des Jahres 2015 ein (blauer Karton, beschrieben mit «D._______ 2015 Fahrzeug Modell B._______»), auf welchen «D._______» als Fahrerin aufgeführt ist. Es kann somit grundsätzlich (und in Übereinstimmung mit der Vorinstanz) davon ausgegangen werden, dass es tatsächlich eine zweite Fahrerin gab, welche mit den Fahrzeugen des Beschwerdeführers Fahrten durchführte. Aus mehrwertsteuerlicher Sicht ist nun aber entscheidend, in wessen Namen die Taxifahrten ausgeführt wurden (E. 2.7 f.). Unterlagen, welche belegen würden, dass D._______ mit dem fraglichen Fahrzeug des Beschwerdeführers Fahrten ausgeführt hat, die sie in eigenem Namen fakturiert hat oder für die sie in anderer Weise in eigenem Namen handelte, liegen jedoch nicht vor und die Behauptung des Beschwerdeführers kann nicht als belegt angesehen werden. Der Beschwerdeführer hat dem Bundesverwaltungsgericht im Übrigen Rechnungen (mit Briefkopf der GmbH) eingereicht, auf welchen teilweise der Name «D._______» handschriftlich notiert wurde. Daraus könnte abgeleitet werden, dass gewisse (möglicherweise) von der zweiten Fahrerin zurückgelegte Fahrten von der GmbH fakturiert wurden. Auch dies lässt die Behauptung, D._______ habe ihre Fahrten als selbständige Unternehmerin ausgeführt, wenig glaubwürdig erscheinen, sondern würde eher nahelegen, dass diese zweite Fahrerin bezüglich ihrer Fahrten gerade nicht in eigenem Namen gehandelt hat. Der Beschwerdeführer bringt weiter vor, dass D._______ auch von der Suva als selbständige Limousinenfahrerin akzeptiert worden sei und reicht hierzu ein Schreiben der Suva vom 22. September 2017 ein, worin festgehalten wird, dass besagte D._______ ab dem 16. März 2015 für ihre Tätigkeit im Bereich Limousinenservice als selbständigerwerbend gelte. Das Schreiben der Suva ändert jedoch nichts am vorstehend Gesagten. Zunächst beurteilt die Suva lediglich die Tätigkeit von D._______ aus sozialversicherungsrechtlicher Sicht, nicht jedoch aus mehrwertsteuerrechtlicher. Es ist keine Bindungswirkung in Bezug auf die mehrwertsteuerrechtliche Qualifikation gegeben und es bleiben unterschiedliche Ergebnisse denkbar (vgl. vorne E. 2.8). Überdies gilt festzuhalten, dass selbst wenn D._______ tatsächlich während der vorliegend interessierenden Zeitspanne selbständig erwerbstätig gewesen wäre, es trotzdem nicht ausgeschlossen wäre, dass sie gleichzeitig auch einer unselbständigen Tätigkeit nachgegangen ist und Fahrten (aus mehrwertsteuerlicher Sicht) für den Beschwerdeführer ausgeführt hat. Ebenfalls schwierig nachvollziehbar erscheint dem Gericht, dass während des gesamten Verfahrens vor der Vorinstanz mit keinem Wort eine angeblich selbständige zweite Fahrerin erwähnt wurde. Weil der Beschwerdeführer letztlich die Folgen der Beweislosigkeit zu tragen hat, kann er auch in diesem Punkt aufgrund des Ausgeführten nichts zu seinen Gunsten ableiten.</w:t>
      </w:r>
    </w:p>
    <w:p>
      <w:r>
        <w:rPr>
          <w:b/>
        </w:rPr>
        <w:t>E. 3.5.3</w:t>
      </w:r>
    </w:p>
    <w:p>
      <w:r>
        <w:t>In einem weiteren erstmals vor Bundesverwaltungsgericht vorgebrachten Argument macht der Beschwerdeführer geltend (so namentlich in der Eingabe vom 10. November 2019), es seien sämtliche Rechnungen mit der Endung «L» (L=Limousine) vom gesamten Umsatz abzuziehen, weil diese Fakturen von der Vorinstanz bereits seiner GmbH zugeordnet worden seien. Konkret seien im von ihm selbst verbuchten und deklarierten Umsatz der Einzelunternehmung von Fr. 93'011.30 bereits «Fr. 50'516.50 GmbH Fahrten» enthalten. Eine nochmalige Besteuerung dieses Betrags würde eine Doppelbesteuerung bewirken. Um sein Vorbringen zu belegen, reichte der Beschwerdeführer die Einschätzungsmitteilung Nr. (...) betreffend E._______ GmbH vom 7. April 2017 ein, woraus sich ergibt, dass der Umsatz der GmbH im hier relevanten Jahr 2015 aufgrund der Addition der Rechnungen effektiv ermittelt und auf Fr. 271'449 festgesetzt wurde. Zusätzlich werden von der GmbH ausgestellte Rechnungen eingereicht. Der Beschwerdeführer ist der Meinung, dass diejenigen Rechnungen betreffend Fahrten mit dem Fahrzeug Modell C._______ aufgrund der erfolgten Berücksichtigung bei der Besteuerung der GmbH für die Einschätzung seiner Einzelfirma unberücksichtigt bleiben müssten. Die Vorinstanz schildert in ihrer Eingabe vom 20. Februar 2020, dass die mit dem Briefkopf der E._______ GmbH ausgestellten Rechnungen tatsächlich - aufgrund des Aussenauftritts - mittels Einschätzungsmitteilung Nr. (...) der genannten GmbH zugeordnet worden seien. Dass ein Teil dieser auf den Rechnungen aufgeführten Taxifahrten angeblich mit dem Fahrzeug Modell C._______ durchgeführt worden seien, werde vom Beschwerdeführer hingegen nicht nachgewiesen. Dieser Auffassung stimmt das Gericht zu. Auf einigen der nachgereichten Belege findet sich zwar das handschriftlich hinzugefügte Wort «Modell C._______», weitere Unterlagen, welche zu belegen vermöchten, dass der Beschwerdeführer mit dem Fahrzeug Modell C._______ auch Umsätze erzielt hat, die der GmbH zugerechnet wurden, hat er aber nicht eingereicht. Des Weiteren fehlt eine nachvollziehbare Auflistung der fraglichen Fahrten. So kann das Gericht aufgrund der Unterlagen nicht nachvollziehen, wie der Beschwerdeführer auf den von ihm geltend gemachten Betrag von Fr. 50'516.50 gekommen ist (wobei in einer früheren Eingabe vom 2. November 2019 noch von Fr. 20'000 die Rede ist, während in einer späteren Eingabe vom 18. April 2020 dann ein Betrag von CHF 52'403.30 genannt wird, was kaum zur Klärung des Sachverhalts beiträgt). Die Summe der Totale der Spalte Limousinenservice auf den eingereichten Tagesabrechnungen (Vernehmlassungsbeilage 12 und 14) entspricht jedenfalls keinem dieser vom Beschwerdeführer genannten Beträge. Sodann enthalten diese Tagesabrechnungen, auf welche sich der Beschwerdeführer immer wieder bezieht, zwar Hinweise, dass mit dem Fahrzeug Modell C._______ Limousinenfahrten durchgeführt worden sind. Nicht nachgewiesen bleibt jedoch, dass diese Fahrten mit dem Fahrzeug Modell C._______ von der GmbH fakturiert wurden. Auch wenn es gewisse Übereinstimmungen gibt, lassen sich die auf den Tagesabrechnungen aufgeführten Fahrten nicht zweifelsfrei den eingereichten Rechnungen der GmbH (und den Fahrten mit handschriftlichem Vermerk «Modell C._______») zuordnen bzw. auf diesen ablesen. Es ist grundsätzlich nicht am Bundesverwaltungsgericht, jede einzelne Position auf den Tagesabrechnungen mit den Rechnungen abzugleichen. Unter diesen Umständen vermögen somit auch die Tagesabrechnungen in Verbindung mit den eingereichten Rechnungen der GmbH keinen genügenden Beweis zu erbringen. Unklar ist im Übrigen, zu welchem Zeitpunkt die handschriftlichen Vermerke «Modell C._______» auf den Rechnungen angebracht worden sind. Ebenfalls zu erwähnen bleibt, dass der Beschwerdeführer auch dieses Argument der «Doppelbesteuerung» erst im Verfahren vor dem Bundesverwaltungsgericht vorgebracht hat, was zusätzliche Fragen aufwirft. Insgesamt vermag der Beschwerdeführer nicht nachzuweisen, dass mit dem Fahrzeug Modell C._______ Fahrten durchgeführt wurden, welche der GmbH zuzurechnen wären und bereits von dieser versteuert worden sind. Auch mit diesem Argument gelingt es dem Beschwerdeführer somit nicht, den ihm obliegenden Nachweis für die offensichtliche Unrichtigkeit der Schätzung zu erbringen.</w:t>
      </w:r>
    </w:p>
    <w:p>
      <w:r>
        <w:rPr>
          <w:b/>
        </w:rPr>
        <w:t>E. 3.5.4</w:t>
      </w:r>
    </w:p>
    <w:p>
      <w:r>
        <w:t>Im Ergebnis misslingt dem Beschwerdeführer damit der Nachweis der offensichtlichen Unrichtigkeit der vorinstanzlichen Schätzung.</w:t>
      </w:r>
    </w:p>
    <w:p>
      <w:r>
        <w:rPr>
          <w:b/>
        </w:rPr>
        <w:t>E. 3.6</w:t>
      </w:r>
    </w:p>
    <w:p>
      <w:r>
        <w:t>Der angefochtene Einspracheentscheid erweist sich insgesamt als rechtmässig. Die Beschwerde ist infolgedessen abzuweisen.</w:t>
      </w:r>
    </w:p>
    <w:p>
      <w:r>
        <w:rPr>
          <w:b/>
        </w:rPr>
        <w:t>E. 4.1</w:t>
      </w:r>
    </w:p>
    <w:p>
      <w:r>
        <w:t>Ausgangsgemäss hat der unterliegende Beschwerdeführer die Verfahrenskosten zu tragen (Art. 63 Abs. 1 VwVG). Diese sind in Anwendung von Art. 4 des Reglements vom 21. Februar 2008 über die Kosten und Entschädigungen vor dem Bundesverwaltungsgericht (VGKE; SR 173.320.2) auf Fr. 1'000.-- festzusetzen. Der einbezahlte Kostenvorschuss in gleicher Höhe ist zur Bezahlung dieser Kosten zu verwenden.</w:t>
      </w:r>
    </w:p>
    <w:p>
      <w:r>
        <w:rPr>
          <w:b/>
        </w:rPr>
        <w:t>E. 4.2</w:t>
      </w:r>
    </w:p>
    <w:p>
      <w:r>
        <w:t>Parteientschädigungen sind nicht zuzusprechen (Art. 64 Abs. 1 VwVG e contrario sowie Art. 7 Abs. 1 VGKE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