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A-5538/2020 vom 30. Juni 2021</w:t>
      </w:r>
    </w:p>
    <w:p>
      <w:r>
        <w:t>Bundesverwaltungsgericht, 2021-06-30, FR</w:t>
      </w:r>
    </w:p>
    <w:p>
      <w:r>
        <w:rPr>
          <w:b/>
        </w:rPr>
        <w:t xml:space="preserve">Quelle: </w:t>
      </w:r>
      <w:r>
        <w:t>https://mcp.opencaselaw.ch/entscheid/bvger_A-5538_2020</w:t>
      </w:r>
    </w:p>
    <w:p>
      <w:r>
        <w:t>FR: TAF A-5538/2020 du 30 juin 2021</w:t>
      </w:r>
    </w:p>
    <w:p>
      <w:r>
        <w:t>IT: TAF A-5538/2020 del 30 giugno 2021</w:t>
      </w:r>
    </w:p>
    <w:p>
      <w:pPr>
        <w:pStyle w:val="Heading2"/>
      </w:pPr>
      <w:r>
        <w:t>Regeste</w:t>
      </w:r>
    </w:p>
    <w:p>
      <w:r>
        <w:t>Assistance administrative</w:t>
      </w:r>
    </w:p>
    <w:p>
      <w:pPr>
        <w:pStyle w:val="Heading2"/>
      </w:pPr>
      <w:r>
        <w:t>Erwägungen</w:t>
      </w:r>
    </w:p>
    <w:p>
      <w:r>
        <w:rPr>
          <w:b/>
        </w:rPr>
        <w:t>E. 5.1.1</w:t>
      </w:r>
    </w:p>
    <w:p>
      <w:r>
        <w:t>Pour ce qui est des conditions de fond, la recourante estime en premier lieu que la demande du 11 mai 2016 constituerait une pêche aux renseignements proscrite et en particulier qu'un « élément central » aurait échappé au Tribunal fédéral (Recours, ch. 22).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la recourante, une des conditions de l'assistance internationale en matière fiscale pour les demandes de liste.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la recourante doit être rejeté.</w:t>
      </w:r>
    </w:p>
    <w:p>
      <w:r>
        <w:rPr>
          <w:b/>
        </w:rPr>
        <w:t>E. 5.1.4</w:t>
      </w:r>
    </w:p>
    <w:p>
      <w:r>
        <w:t>A l'appui de son moyen, la recourante soutient qu'il y a lieu de demander à l'autorité inférieure d'obtenir des « données à jours de la DGFiP, afin de déterminer si l'analyse des listes "A", "B" et "C" permet encore aujourd'hui de pas peser un soupçon global sur les cas de la liste "B" et "C" ». Or, dès lors que la Cour de céans est liée par l'arrêt rendu sur ce point par le Tribunal fédéral (cf. supra consid. 1.4.3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et 140 I 285 consid. 6.3.1 et les références). Tel est bien le cas en l'espèce, puisque les informations requises ne permettraient pas de modifier l'appréciation de la Cour de céans.</w:t>
      </w:r>
    </w:p>
    <w:p>
      <w:r>
        <w:rPr>
          <w:b/>
        </w:rPr>
        <w:t>E. 5.2.1</w:t>
      </w:r>
    </w:p>
    <w:p>
      <w:r>
        <w:t>Au moyen d'un deuxième grief (Recours, ch. 34ss), la recourante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la recourante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 se fonde sur l'arrêt rendu le 15 septembre 2015 (A-6843/2014), la recourante ne saurait être suivie dès lors que cette décision a été annulée par le Tribunal fédéral par arrêt du 16 février 2017 (ATF 143 II 202). Par conséquent, les larges arguments que la recourantes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et 2C_648/2017 précité consid. 2.3.3 à 2.3.4). Ces deux éléments seront examinés successivement dans les consid. 5.2.3.1 à 5.2.3.3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internet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5.2.3.2</w:t>
      </w:r>
    </w:p>
    <w:p>
      <w:r>
        <w:t>Quant à l'existence d'un lien de causalité entre les données prétendument volées et la demande d'assistance administrative dont se prévaut la recourante,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consid. 5.2.2 supra). Au surplus, force est de constater que l'autorité requérante ne peut être considérée comme ayant acheté des données acquises illégalement au regard du droit suisse pour fonder sa demande (cf. consid. 5.2.3 supra), ce que la recourante n'invoque au demeurant pas. Partant, le grief de la recourante doit être rejeté.</w:t>
      </w:r>
    </w:p>
    <w:p>
      <w:r>
        <w:rPr>
          <w:b/>
        </w:rPr>
        <w:t>E. 5.3.1</w:t>
      </w:r>
    </w:p>
    <w:p>
      <w:r>
        <w:t>A la suite de ce qui précède, il sied encore d'examiner la conclusion de la recourante tendant à ce qu'il soit ordonné à l'AFC de produire les pièces mentionnées dans la décision attaquée auxquelles il n'aurait pas eu accès, à savoir la déclaration des autorités fiscales allemandes dans le cadre d'une procédure d'assistance administrative parallèle en cours et le mandat de perquisition émis par le parquet de Bochum le 3 juillet 2013 (cf. let. I supra).</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la recourante,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il y a lieu rejeter la conclusion de la recourante tendant à la production desdites pièces par l'AFC.</w:t>
      </w:r>
    </w:p>
    <w:p>
      <w:r>
        <w:rPr>
          <w:b/>
        </w:rPr>
        <w:t>E. 6</w:t>
      </w:r>
    </w:p>
    <w:p>
      <w:r>
        <w:t>En dernier lieu, la recourante fait grief à la décision attaquée de ne pas avoir « discuté la question d'un éventuel abus de droit dans sa qualification de la demande française », alors que la recourante l'avait relevé dans ses observations. Elle invoque une violation de son droit d'être entendue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et A-4572/2015 du 9 mars 2017 consid. 4.1).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136 et 2C_32/2017 du 22 décembre 2017 consid. 2.3 ; arrêts du TAF A-5647/2017 précité consid. 1.5.3, A-2523/2015 précité consid. 3.3).</w:t>
      </w:r>
    </w:p>
    <w:p>
      <w:r>
        <w:rPr>
          <w:b/>
        </w:rPr>
        <w:t>E. 6.3</w:t>
      </w:r>
    </w:p>
    <w:p>
      <w:r>
        <w:t>En l'occurrence, comme mentionné ci-avant, la recourante invoque une violation de son droit d'être entendue au motif que l'autorité inférieure ne se serait pas prononcée sur les arguments qu'elle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 la recourante en lien avec l'abus de droit n'est pas traité, il n'en reste pas moins que la décision attaquée, au long de ses quelques 36 pages, permet sans aucun doute de comprendre que l'autorité inférieure rejette l'argument de la recourante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32). Au final, force est de constater que, nonobstant la reprise de paragraphes standardisés - qui paraît du reste justifiée dans le cadre d'une administration rendant des décisions de masse -, l'argumentation juridique exposée par l'autorité inférieure a permis à la recourante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la recourante saisisse la portée de celle-ci et puisse l'attaquer en toute connaissance de cause, ce qu'elle a du reste fait. En effet, le Tribunal de céans en veut pour preuve le mémoire de recours de la recourante, duquel il ressort que cette dernière a parfaitement saisi les arguments de l'autorité inférieure. La Cour relève au surplus que la recourante a pu faire valoir devant elle l'entier de ses arguments. Dans ces circonstances et au vu du plein pouvoir d'examen du Tribunal de céans (cf. consid. 1.4.2 et 1.4.3 supra), il y aurait de toute façon lieu de considérer qu'une violation éventuelle du droit d'être entendu de la recourante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