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A-5533/2020 vom 14. November 2022</w:t>
      </w:r>
    </w:p>
    <w:p>
      <w:r>
        <w:t>Bundesverwaltungsgericht, 2022-11-14, FR</w:t>
      </w:r>
    </w:p>
    <w:p>
      <w:r>
        <w:rPr>
          <w:b/>
        </w:rPr>
        <w:t xml:space="preserve">Quelle: </w:t>
      </w:r>
      <w:r>
        <w:t>https://mcp.opencaselaw.ch/entscheid/bvger_A-5533_2020</w:t>
      </w:r>
    </w:p>
    <w:p>
      <w:r>
        <w:t>FR: TAF A-5533/2020 du 14 novembre 2022</w:t>
      </w:r>
    </w:p>
    <w:p>
      <w:r>
        <w:t>IT: TAF A-5533/2020 del 14 novembre 2022</w:t>
      </w:r>
    </w:p>
    <w:p>
      <w:pPr>
        <w:pStyle w:val="Heading2"/>
      </w:pPr>
      <w:r>
        <w:t>Regeste</w:t>
      </w:r>
    </w:p>
    <w:p>
      <w:r>
        <w:t>Assistance administrative</w:t>
      </w:r>
    </w:p>
    <w:p>
      <w:pPr>
        <w:pStyle w:val="Heading2"/>
      </w:pPr>
      <w:r>
        <w:t>Erwägungen</w:t>
      </w:r>
    </w:p>
    <w:p>
      <w:r>
        <w:rPr>
          <w:b/>
        </w:rPr>
        <w:t>E. 1</w:t>
      </w:r>
    </w:p>
    <w:p>
      <w:r>
        <w:t>Le nom du titulaire du compte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28 mars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le recourant dispose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 2.</w:t>
      </w:r>
    </w:p>
    <w:p>
      <w:r>
        <w:rPr>
          <w:b/>
        </w:rPr>
        <w:t>E. 2</w:t>
      </w:r>
    </w:p>
    <w:p>
      <w:r>
        <w:t>La qualité du contribuable : titulaire, bénéficiaire économique ou procuré ;</w:t>
      </w:r>
    </w:p>
    <w:p>
      <w:r>
        <w:rPr>
          <w:b/>
        </w:rPr>
        <w:t>E. 2.1.1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consid. 2.1.1 et A-6399/2014 du 4 janvier 2016 consid. 6).</w:t>
      </w:r>
    </w:p>
    <w:p>
      <w:r>
        <w:rPr>
          <w:b/>
        </w:rPr>
        <w:t>E. 2.1.2</w:t>
      </w:r>
    </w:p>
    <w:p>
      <w:r>
        <w:t>Le ch. XI du Protocole additionnel a été modifié le 25 juin 2014 par l'Accord 2014 modifiant le Protocole additionnel, entré en vigueur le 30 mars 2016 (ci-après : Protocole 2014 ; FF 2011 3519 ; arrêt du TAF A-2321/2017 du 20 décembre 2017 consid. 3.1). Ces modifications concernent uniquement les cas dans lesquels les noms des personnes impliquées ne sont pas connus de l'Etat requérant (cf. arrêt du TAF A-5066/2016 du 17 mai 2018 consid. 4.1). Parmi les modifications intervenues, le ch. XI par. 3 du Protocole additionnel - relatif à l'identification de la personne concernée - a été modifié par l'art. 1 par. 1 du Protocole 2014. Avant sa modification, cette disposition exigeait de l'Etat requérant qu'il fournisse le nom et une adresse de la personne faisant l'objet du contrôle ou d'une enquête et, si disponible, tout autre élément de nature à faciliter son identification tel que par exemple sa date de naissance ou son état civil.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(sur les développements du contexte de la modification du ch. XI du Protocole additionnel, cf. ATF 146 II 150 consid. 5.2.3 ; cf. arrêts du TAF A-1534/2018 ; A-1555/2018 ; A-1562/2018 et A-1563/2018 du 3 août 2020 consid. 2.3). L'art. 2 par. 2 de l'Accord 2014 prévoit que celui-ci est applicable aux demandes d'échange de renseignements concernant toute année civile ou tout exercice commençant à compter du 1er janvier 2010. L'art. 2 par. 3 de l'Accord 2014 stipule quant à lui que, nonobstant les dispositions du par. 2, l'art. 1 par. 1 dudit Accord est applicable aux demandes d'échange de renseignements relatives à des faits survenus pour toute période commençant à compter du 1er février 2013. Dans l'ATF 146 II 150, le Tribunal fédéral a considéré que l'interprétation de l'art. 2 par. 3 de l'Accord 2014 - à la lumière de son objet, de son contexte et des circonstances de sa conclusion - ne rendait admissible les demandes groupées que pour obtenir des renseignements relatifs à des périodes à compter du 1er février 2013 (cf. ATF 146 II 150 consid. 5.3 ss et 5.6).</w:t>
      </w:r>
    </w:p>
    <w:p>
      <w:r>
        <w:rPr>
          <w:b/>
        </w:rPr>
        <w:t>E. 2.2</w:t>
      </w:r>
    </w:p>
    <w:p>
      <w:r>
        <w:t>La requête doit indiquer les éléments qui figurent au ch. XI par. 3 du Protocole additionnel, à savoir (a) l'identité de la personne faisant l'objet d'un contrôle ou d'une enquête, cette information pouvant résulter de la fourniture du nom de cette personne ou de tout autre élément de nature à en permettre l'identification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 A-5066/2016 du 17 mai 2018 consid. 2.2 ; A-4977/2016 du 13 février 2018 consid. 3.2 et A-4545/2016 du 8 février 2018 consid. 4.2).</w:t>
      </w:r>
    </w:p>
    <w:p>
      <w:r>
        <w:rPr>
          <w:b/>
        </w:rPr>
        <w:t>E. 2.3.1</w:t>
      </w:r>
    </w:p>
    <w:p>
      <w:r>
        <w:t>Exprimée à l'art. 28 par. 1 CDI CH-FR, la condition de la pertinence vraisemblable des informations pour l'application de la Convention ou la législation fiscale interne des Etats contractants est la clé de voûte de l'échange de renseignements (voir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(voir ATF 145 II 112 consid. 2.2.1 ; 144 II 206 consid. 4.2 et 4.3 et 142 II 161 consid. 2.1.1 ; arrêt du TAF A-4591/2018 du 9 mars 2020 consid. 4.2.1).</w:t>
      </w:r>
    </w:p>
    <w:p>
      <w:r>
        <w:rPr>
          <w:b/>
        </w:rPr>
        <w:t>E. 2.3.2</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 143 II 506 consid. 5.2.1 ; 142 II 161 consid. 4.6.1 et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w:t>
      </w:r>
    </w:p>
    <w:p>
      <w:r>
        <w:rPr>
          <w:b/>
        </w:rPr>
        <w:t>E. 2.3.3</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2.3.4</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2.4</w:t>
      </w:r>
    </w:p>
    <w:p>
      <w:r>
        <w:t>La demande ne doit pas être déposée uniquement à des fins de recherche de preuves au hasard (interdiction de la pêche aux renseignements [« fishing expedition »] ; ATF 144 II 206 consid. 4.2 ; 143 II 136 consid. 6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 du TAF A-3320/2017 du 15 août 2018 consid. 3.3.2). Il n'est, cela dit, pas attendu de l'Etat requérant que chacune de ses questions conduise nécessairement à une recherche fructueuse correspondante (arrêts du TAF A-6266/2017 du 24 août 2018 consid. 2.5 et A-5066/2016 du 17 mai 2018 consid. 2.5).</w:t>
      </w:r>
    </w:p>
    <w:p>
      <w:r>
        <w:rPr>
          <w:b/>
        </w:rPr>
        <w:t>E. 2.5</w:t>
      </w:r>
    </w:p>
    <w:p>
      <w:r>
        <w:t>Le principe de spécialité veut que l'Etat requérant n'utilise les informations reçues de l'Etat requis qu'à l'égard des personnes et des agissements pour lesquels il les a demandées et pour lesquels elles lui ont été transmises (cf. art. 28 CDI CH-FR ;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 ; 146 I 172 consid. 7.1.3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 3. En l'espèce, la Cour de céans examinera la forme de la demande (cf. consid. 3.1 ci-après), avant de traiter successivement des autres conditions de l'assistance administrative au regard des griefs matériels invoqués par le recourant (cf. consid. 3.2 ci-après).</w:t>
      </w:r>
    </w:p>
    <w:p>
      <w:r>
        <w:rPr>
          <w:b/>
        </w:rPr>
        <w:t>E. 3</w:t>
      </w:r>
    </w:p>
    <w:p>
      <w:r>
        <w:t>Les états de fortune au 1er janvier des années 2010 à 2017 ;</w:t>
      </w:r>
    </w:p>
    <w:p>
      <w:r>
        <w:rPr>
          <w:b/>
        </w:rPr>
        <w:t>E. 3.1</w:t>
      </w:r>
    </w:p>
    <w:p>
      <w:r>
        <w:t>Sur le plan formel, le Tribunal constate que, la demande d'assistance contient la liste des informations nécessaires à sa recevabilité. Elle mentionne en effet, le nom du recourant, sa date de naissance ainsi que son adresse en France (ch. 4 de la demande et Annexe) ; la période visée par la demande (ch. 7), soit les années 2010 à 2017 ; la description des renseignements demandés (ch. 10) ; l'objectif fiscal fondant la demande (ch. 7 et 8), soit l'impôt sur le revenu et l'impôt sur la fortune (ch. 7) ainsi que le nom de la banque détentrice des documents demandés (ch. 5). La demande remplit dès lors toutes les conditions de forme prévues par le ch. XI par. 3 du Protocole additionnel.</w:t>
      </w:r>
    </w:p>
    <w:p>
      <w:r>
        <w:rPr>
          <w:b/>
        </w:rPr>
        <w:t>E. 3.2</w:t>
      </w:r>
    </w:p>
    <w:p>
      <w:r>
        <w:t>Pour ce qui est des conditions de fond, la partie recourante argue en premier lieu que la décision attaquée consacrerait une violation du principe de la bonne foi (cf. recours ch. IV, let. B, n° 1).</w:t>
      </w:r>
    </w:p>
    <w:p>
      <w:r>
        <w:rPr>
          <w:b/>
        </w:rPr>
        <w:t>E. 3.2.1.1</w:t>
      </w:r>
    </w:p>
    <w:p>
      <w:r>
        <w:t>De l'avis de la partie recourante, la DGFP n'aurait fourni aucune information quant à l'origine des données bancaires sur lesquelles se fonde la demande d'assistance. En l'occurrence, l'assistance porterait ici sur une pluralité de contribuables regroupés dans le cadre d'une « demande générale » et concernerait « plusieurs milliers de comptes bancaires ouverts en Suisse » (cf. pièce jointe au recours n° 24). Or, il serait en pratique impossible que des données bancaires d'un tel volume aient été obtenues autrement que par une extraction illicite de données commise au siège de la banque B._______ AG ou auprès d'une ou plusieurs de ses succursales suisses. Un tel acte constituerait ainsi nécessairement une infraction pénale réprimée à tout le moins par I'art. 47 de la Loi fédérale sur les banques et les caisses d'épargne (LB ; RS 952.0). La partie recourante poursuit en estimant que la commission de dite infraction serait rendue d'autant plus vraisemblable que les autorités étrangères n'ont pas informé en temps utile le Ministère public de la Confédération (cf. pièce jointe au recours n° 20). Cette violation des règles régissant la coopération internationale en matière pénale s'expliquerait très vraisemblablement, toujours selon le recourant, par la volonté de protéger l'auteur de l'infraction, lequel s'exposerait très concrètement à des poursuites pénales en Suisse. Confrontée à cette évidence, I'AFC aurait donc dû soit solliciter des informations complémentaires auprès de la DGFP quant à l'origine des données bancaires accompagnant la demande d'assistance, soit constater son irrecevabilité. Ainsi, dès lors que I'AFC se serait contentée d'admettre la recevabilité de la demande d'assistance, la décision attaquée consacrerait une violation des art. 28 CDI CH-FR et de l'art. 7 let. c LAAF et devrait donc être annulée.</w:t>
      </w:r>
    </w:p>
    <w:p>
      <w:r>
        <w:rPr>
          <w:b/>
        </w:rPr>
        <w:t>E. 3.2.1.2</w:t>
      </w:r>
    </w:p>
    <w:p>
      <w:r>
        <w:t>A cet égard, la Cour constate premièrement que si, certes, la demande porte sur un grand nombre de personnes qui seraient toutes concernées par le même type de situation, il ne s'agit toutefois pas là d'une demande groupée au sens de l'art. 3 let. c LAAF, mais bien d'une série de demandes individuelles semblables. En effet, les noms des personnes concernées sont connus. Il ne s'agit dès lors pas pour l'autorité suisse d'identifier des personnes sur la base d'un comportement déterminé. Ensuite, il est certes vrai que l'art. 7 let. c LAAF prévoit qu'il n'est pas entré en matière lorsque la demande viole le principe de la bonne foi, notamment lorsqu'elle se fonde sur des renseignements obtenus par des actes punissables au regard du droit suisse. Certes encore, la CDI CH-FR consacre à son art. 28 par. 3 let. b le principe selon lequel un Etat contractant n'est pas tenu de fournir des renseignements qui ne pourraient être obtenus sur la base de sa législation ou dans le cadre de sa pratique administrative normale ou de celle de l'autre Etat contractant. Cela étant, la bonne foi est toujours présumée dans les relations internationales (cf. consid. 2.3.4 ci-avant) et le recourant n'apporte aucun élément établi et concret susceptible de renverser cette présomption. En effet, il ne suffit pas de faire des suppositions pour considérer que la demande est contraire à la bonne foi ou qu'elle se fonde sur des données volées. Sous cet angle déjà, il apparaît que le recourant ne parvient pas à démontrer l'existence d'une infraction pénale qui aurait pour conséquence de renverser la présomption de bonne foi de l'Etat requérant. A toutes fins utiles, le Tribunal fédéral a déjà eu l'occasion de préciser que, dans la mesure où l'Etat requérant n'a pas fourni de garantie sur l'origine des données en application de la jurisprudence du Tribunal fédéral (cf. ATF 143 II 224), le fait de fonder une demande d'assistance sur des données volées, soit des données acquises par des actes effectivement punissables au regard du droit suisse dans le sens très restrictif que lui a donné la jurisprudence (cf. ATF 143 II 202 consid. 8.5.1), ne constitue pas en soi une violation du principe de la bonne foi reconnue en droit international public (cf. arrêts du TAF A-3665/2020 consid. 5.5, confirmé par le TF 2C_893/2021 du 11 novembre 2021; A-6391/2016 du 17 janvier 2018 consid. 5.2.1.2, confirmé par le TF dans l'arrêt 2C_88/2018 du 7 décembre 2018). Par voie de conséquence, quand bien même le recourant aurait prouvé l'existence d'un acte illicite, ce qui n'est pas le cas en l'espèce, cela n'aurait de toute manière pas ipso facto pour effet de rendre la requête de l'Etat français contraire au principe de la bonne foi. La jurisprudence précitée a en effet clairement établi que le fait d'exploiter des renseignements issus de données volées n'était pas intrinsèquement contraire au principe de la bonne foi mais dépendait au contraire d'un engagement éventuellement pris par l'autorité requérante de ne pas utiliser des données volées spécifiques. Or, il n'y a dans le cas d'espèce aucun engagement correspondant de la part de l'autorité française, et la requête d'assistance à l'origine de la présente procédure se distingue ainsi fondamentalement de celle dans laquelle (ATF 143 II 224 précité) le Tribunal fédéral avait admis que la France s'est engagée vis-à-vis de la Suisse à ne pas utiliser les données Falciani. Le grief étant mal fondé, il s'agit ici de le rejeter.</w:t>
      </w:r>
    </w:p>
    <w:p>
      <w:r>
        <w:rPr>
          <w:b/>
        </w:rPr>
        <w:t>E. 3.2.2</w:t>
      </w:r>
    </w:p>
    <w:p>
      <w:r>
        <w:t>Dans un second grief, le recourant considère que la décision attaquée violerait l'art. 4 al. 3 LAAF (cf. ch. IV, let. B, n° 2).</w:t>
      </w:r>
    </w:p>
    <w:p>
      <w:r>
        <w:rPr>
          <w:b/>
        </w:rPr>
        <w:t>E. 3.2.2.1</w:t>
      </w:r>
    </w:p>
    <w:p>
      <w:r>
        <w:t>A l'appui de son grief, le recourant expose que l'extrait du compte n° [1] détenu auprès [de la banque] B._______ AG (cf. pièce jointe au recours n° 15, p. 2), tel que l'AFC entend le transmettre à la DGFP, contient la transaction non caviardée suivante : « Correction de la période précédente Ordre de paiement C._______ » Cette transaction d'un montant de Fr. 446.95 au débit est datée du 15 juillet 2010 avec une date valeur au jour précédent. Elle correspond à un virement bancaire effectué sur le compte de son épouse. Or, cette dernière ne serait pas une personne concernée au sens de l'article 3 let. a LAAF en lien avec la décision attaquée par le présent recours, mais un tiers. De plus, cette transaction n'aurait aucune incidence sur la demande de l'Etat requérant. En effet, il s'agirait d'un ordre de paiement unique et d'un faible montant, qui a pour effet de réduire le patrimoine du recourant et n'augmente en rien l'éventuelle créance fiscale de l'Etat requérant. Elle ne serait ainsi pas à même de contribuer à élucider sa situation. Dès lors, le caviardage de cette transaction n'amoindrirait pas la portée de l'assistance administrative. Il s'en suivrait que l'AFC aurait à tort considéré que cette transaction devait être transmise à la DGFP. Ainsi, dans l'hypothèse où le TAF considérerait qu'il convient de donner une suite favorable à la demande d'assistance, cette transaction devrait être entièrement caviardée.</w:t>
      </w:r>
    </w:p>
    <w:p>
      <w:r>
        <w:rPr>
          <w:b/>
        </w:rPr>
        <w:t>E. 3.2.2.2</w:t>
      </w:r>
    </w:p>
    <w:p>
      <w:r>
        <w:t>En l'occurrence, il est le lieu de rappeler ici que la demande d'assistance administrative du 28 mars 2018 vise à obtenir des renseignements non seulement des personnes identifiées comme contribuables, mais aussi des renseignements au sujet de personnes qui ne revêtent pas cette qualité : soit qu'elles soient (co-)titulaires de comptes dont les personnes identifiées comme contribuables sont titulaires, ayants droit économiques ou procurées, soit qu'elles soient ayants droit économiques de comptes dont les personnes identifiées comme contribuables sont titulaires, soit qu'elles apparaissent dans la liste des transactions relatives à ces comptes (cf. consid. 2.3.2 ci-avant). Dès lors que ces renseignements sont vraisemblablement pertinents pour l'évaluation de la situation fiscale du recourant et que les intérêts légitimes de personnes qui ne sont pas des personnes concernées ne prévalent pas sur l'intérêt de la partie requérante à la transmission des renseignements. Ensuite, la condition de la pertinence vraisemblable (cf. consid. 2.3.1 ci-avant) est réputée réalisée si, au moment où la demande d'assistance administrative est formulée, il existe une possibilité raisonnable que les renseignements demandés se révéleront pertinents. Enfin, l'appréciation de la pertinence vraisemblable des informations demandées est en premier lieu du ressort de l'Etat requérant et le rôle de l'Etat requis est assez restreint, puisqu'il se limite à un contrôle de la plausibilité. En outre, peu importe qu'une fois fournis, il s'avère que l'information demandée soit finalement non pertinente. A cet égard, le Tribunal rappelle d'abord que l'autorité requérante a demandé la transmission d'informations afin de pouvoir vérifier le revenu et la fortune au niveau mondial de la personne concernée par la demande en vue d'effectuer une correcte taxation sur son territoire de cette personne qu'elle considère comme un résident. Pour ce faire, elle a spécifiquement demandé de pouvoir connaître les renseignements demandés au chiffre 10 de sa demande et retranscrits au consid. B.c ci-dessus. Or, le Tribunal constate qu'il existe indéniablement un rapport entre l'état de fait décrit dans la demande et les documents requis. Ensuite, il observe que les informations demandées sont propres à permettre l'imposition en France de la personne concernée puisqu'elles permettent de connaître le montant des avoirs et des revenus éventuellement non déclarés à l'administration fiscale française. Au demeurant, les renseignements à transmettre sont vraisemblablement pertinents en vue de la procédure de taxation du recourant. Ils doivent en effet permettre d'établir les différentes sources de ses revenus et si ceux-ci peuvent ou non être imposés dans l'Etat requérant en vertu de sa législation. Par conséquent, la requête des autorités compétentes françaises ne saurait constituer une pêche aux renseignements proscrite. La transmission de ces renseignements est donc conforme au principe de proportionnalité (cf. consid. 2.4 ci-avant).</w:t>
      </w:r>
    </w:p>
    <w:p>
      <w:r>
        <w:rPr>
          <w:b/>
        </w:rPr>
        <w:t>E. 3.2.2.3</w:t>
      </w:r>
    </w:p>
    <w:p>
      <w:r>
        <w:t>En outre, dès lors que le recourant admet lui-même que les relevés du compte visé font état d'une transaction à laquelle il est partie et que de surcroît le compte visé est détenu par son épouse, le recourant ne saurait être suivi lorsqu'il prétend que ces informations ne seraient pas de nature à permettre d'élucider sa situation fiscale. En effet, les documents bancaires et en particulier la liste des transactions (y compris les noms de tiers en lien avec ces transactions) sur les comptes bancaires visés révèlent les apports et les prélèvements enregistrés, les gains générés, ainsi que le montant et la nature des revenus perçus. Quand bien même le montant indiqué dans le relevé n'est pas très important, il ne revient pas à l'Etat requis de déterminer sous l'angle du droit matériel français si un tel montant est pertinent ou pas. Seul suffit de savoir que l'existence d'un virement peut permettre aider à réaliser le but fiscal de la requête. Or, tel est bien le cas ici quel que soit le montant de la transaction indiquée. Partant, ce grief doit être rejeté et les informations relatives au compte visé doivent être transmises aux autorités françaises.</w:t>
      </w:r>
    </w:p>
    <w:p>
      <w:r>
        <w:rPr>
          <w:b/>
        </w:rPr>
        <w:t>E. 3.2.3</w:t>
      </w:r>
    </w:p>
    <w:p>
      <w:r>
        <w:t>Dans un troisième grief, le recourant fait valoir que la décision attaquée violerait le champ d'application temporel de l'art. 28 CDI CH-FR (cf. recours ch. IV, let. B, n° 3).</w:t>
      </w:r>
    </w:p>
    <w:p>
      <w:r>
        <w:rPr>
          <w:b/>
        </w:rPr>
        <w:t>E. 3.2.3.1</w:t>
      </w:r>
    </w:p>
    <w:p>
      <w:r>
        <w:t>Le recourant demande le caviardage de deux transactions figurant sur les relevés bancaires fournis par la banque. La première transaction, d'un montant de Fr. 265.50 et datée du 11 mars 2010 concerne une extourne du paiement de dividendes de la société D._______ SA. La deuxième transaction, d'un montant de Fr. 446.95 et datée du 15 juillet 2010, correspond à un virement bancaire effectué sur le compte de l'épouse du recourant. Ces deux transactions se rapporteraient à une période antérieure à 2010, comme indiqué par la mention « correction de la période précédente ». Elles ne seraient dès lors pas inclues dans la période couverte par la demande et devraient être entièrement caviardées par l'AFC.</w:t>
      </w:r>
    </w:p>
    <w:p>
      <w:r>
        <w:rPr>
          <w:b/>
        </w:rPr>
        <w:t>E. 3.2.3.2</w:t>
      </w:r>
    </w:p>
    <w:p>
      <w:r>
        <w:t>A cet égard, il est le lieu de souligner ici que l'art. 28 CDI CH-FR est applicable aux demandes d'échange de renseignements concernant toute année civile ou tout exercice commençant à compter du 1er janvier 2010 (cf. consid. 2.1 ci-avant). En effet, la demande ici en cause, en tant qu'elle porte sur les années 2010 à 2017, est admissible dès lors qu'elle ne constitue pas une demande groupée (cf. consid. 2.1.2 in fine ci-avant). En outre, concernant les transactions enregistrées sur les comptes visés, c'est à raison que l'AFC rappelle dans sa réponse que seules font foi les informations enregistrées auprès de la banque pour la période concernée par la demande. En l'occurrence, la transaction en cause a été effectuée et enregistrée sur le compte en 2010 et ces informations ne peuvent pas être modifiées a posteriori. La date à laquelle l'ordre a été donné, ou à laquelle est apparue l'obligation à l'origine de la transaction, n'est ici pas déterminante et n'est d'ailleurs pas vérifiable par l'Etat requis. Au contraire, ce qui est déterminant, c'est bien que la transaction ait été enregistrée sur le compte visé durant la période concernée. Au demeurant, le recourant n'apporte aucune pièce à l'appui de ses déclarations ; en particulier, il ne ressort d'aucune pièce du dossier que la banque aurait dû actualiser ses données et qu'il s'agirait, dès lors, d'une erreur dans la gestion de ses données personnelles. Il faut rappeler ici que la présente procédure d'assistance fiscale internationale ne vise aucunement à établir un état de fait fiscal, mais tend uniquement à déterminer quels sont les renseignements qui remplissent les conditions pour être transmis à l'autorité requérante. Dans ce cadre, que les transactions soit matériellement afférentes à une période antérieure à 2010 ou pas n'est pas déterminant. Seul importe de savoir qu'il s'agit d'une opération bancaire figurant dans les relevés de compte en 2010, soit une période pour laquelle l'assistance fiscale peut être accordée. Il s'ensuit que le grief ici soulevé doit être rejeté et les informations relatives à cette transaction doivent être transmises.</w:t>
      </w:r>
    </w:p>
    <w:p>
      <w:r>
        <w:rPr>
          <w:b/>
        </w:rPr>
        <w:t>E. 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pour lesquels elles lui ont été transmises (cf. consid. 2.5 ci-avant ; art. 28 par. 2 CDI-FR ; ATF 142 II 13 consid. 3.4 et 146 I 172 consid. 7.1.3 ; arrêt du TAF A-5522/2019 du 18 août 2020 consid. 3.4.3). La Cour de céans observe d'ailleurs qu'au ch. 5 du dispositif de la décision finale notifiée au recourant, l'autorité inférieure appelle spécifiquement l'autorité française au respect dudit principe (« d'informer la DGFP que les renseignements transmis sont soumis dans l'Etat requérant aux restrictions d'utilisation et obligations de confidentialité prévues par la Convention (art. 28 par. 2 CDI CH-FR). »). Il n'est toutefois pas mentionné dans le dispositif que les informations transmises ne pourront être utilisées dans l'Etat requérant que dans le cadre de la procédure relative à la/aux personne/s concernée/s pour l'état de fait décrit dans la demande d'assistance administrative du 28 mars 2018 de sorte qu'il convient, au vu des avis divergents tant au niveau international que national quant à la portée du principe précité et, en particulier, sur sa composante personnelle, que l'AFC informe précisément l'autorité requérante de l'étendue de la restriction d'utilisation lors de la transmission des informations requises (cf. ATF 142 II 13 consid. 3.7 ; arrêt du TF 2C_545/2019 du 13 juillet 2020 consid. 4 ; arrêt du TAF A-5522/2019 précité consid. 3.4.3). 4.</w:t>
      </w:r>
    </w:p>
    <w:p>
      <w:r>
        <w:rPr>
          <w:b/>
        </w:rPr>
        <w:t>E. 4</w:t>
      </w:r>
    </w:p>
    <w:p>
      <w:r>
        <w:t>Les relevés sur la période du 1er janvier 2010 au 31 décembre 2016, précisant les apports et les prélèvements enregistrés sur cette période ainsi que les gains financiers générés. Veuillez indiquer la date, le montant et la nature des revenus perçus (intérêts, dividendes, plus-values) ;</w:t>
      </w:r>
    </w:p>
    <w:p>
      <w:r>
        <w:rPr>
          <w:b/>
        </w:rPr>
        <w:t>E. 4.1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4.2</w:t>
      </w:r>
    </w:p>
    <w:p>
      <w:r>
        <w:t>Vu l'issue de la cause, il n'est pas alloué de dépens (art. 64 al. 1 PA a contrario et art. 7 al. 1 FITAF a contrario). 5. 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r>
        <w:rPr>
          <w:b/>
        </w:rPr>
        <w:t>E. 5</w:t>
      </w:r>
    </w:p>
    <w:p>
      <w:r>
        <w:t>La copie du formulaire A, I, S, T ou tout document analogue ;</w:t>
      </w:r>
    </w:p>
    <w:p>
      <w:r>
        <w:rPr>
          <w:b/>
        </w:rPr>
        <w:t>E. 6</w:t>
      </w:r>
    </w:p>
    <w:p>
      <w:r>
        <w:t>En cas de clôture du compte,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C. C.a Par échanges de courriers électroniques des 4 et 23 mai 2018, I'AFC sollicita et obtint de la DGFP diverses précisions quant à I'objet de la demande d'assistance et sa notification aux contribuables concernés. C.b Par ordonnance du 25 mai 2018, l'AFC requit la banque de fournir les documents et renseignements demandés. Elle fut également priée d'informer les personnes concernées et habilitées à recourir ainsi que les éventuels autres titulaires des comptes visés, résidant à l'étranger, de l'ouverture de la procédure d'assistance administrative. Par courrier du 8 août 2018, la banque transmit à l'AFC les informations demandées. La banque indiqua également que Monsieur A._______ était titulaire d'autres comptes ouverts auprès d'elle, lesquels font I'objet de la demande d'assistance référencée [...] (voir à ce propos l'arrêt du TAF A-5700/2020 du 14 novembre 2022). Le 15 août 2018, la banque informa Monsieur A._______ de la demande formulée à son sujet par la DGFP et l'invita à désigner un représentant en Suisse autorisé à recevoir des notifications. C.c Par courrier du 19 septembre 2018, Maître Lionel Noguera s'annonça auprès de l'AFC en qualité de mandataire de Monsieur A._______ et sollicita l'accès au dossier. C.d Durant les mois d'octobre et novembre 2018, I'AFC et la DGFP procédèrent à un échange de vues au sujet de l'assistance administrative en tant qu'elle concerne les comptes sur lesquels un contribuable détient une procuration. C.e Par courrier du 13 décembre 2018, l'AFC notifia à la personne concernée les éléments essentiels de la demande ainsi que les informations telles qu'elle envisage de les transmettre à la DGFP, en impartissant un délai de 10 jours pour prendre position par écrit. Par courrier du 23 décembre 2018, Maître Lionel Noguera demanda une prolongation de délai pour remettre ses observations jusqu'au 28 janvier 2018 mais ne se manifesta pas dans le délai imparti. C.f Par décision finale du 1er avril 2020, adressée à A._______ en tant que personne concernée, l'AFC accorda l'assistance administrative à l'autorité française. Cette décision ne fut cependant notifiée qu'ultérieurement, par envoi à une adresse de domiciliation indiquée par l'intéressé, en date du 6 octobre 2020. D. D.a Par acte du 5 novembre 2020, A._______ (ci-après : le recourant) a déposé un recours par-devant le TAF à l'encontre de la décision finale de l'AFC du 1er avril 2020. Il conclut, sous suite de frais et dépens, principalement à l'annulation de la décision entreprise. Il conclut subsidiairement à ce qu'il soit, premièrement, ordonné à l'autorité intimée de caviarder sur l'extrait du compte privé CHF n° [1] daté du 16 juillet 2010 toutes les informations se rapportant au débit de Fr. 446.95 exécuté avec date valeur du 14 juillet 2010 et, deuxièmement, ordonné à l'autorité intimée de caviarder sur l'extrait du compte privé EUR n° [2] daté du 16 mars 2010 toutes les informations se rapportant au débit de Fr. 265.50 exécuté avec date valeur du 15 décembre 2009. D.b Par réponse du 23 juin 2022, l'AFC conclut au rejet du recours. Pour autant que de besoin, les autres faits et les arguments des parties seront repris dans les considérants en droit ci-après.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