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A-5530/2008 vom 11. Dezember 2008</w:t>
      </w:r>
    </w:p>
    <w:p>
      <w:r>
        <w:t>Bundesverwaltungsgericht, 2008-12-11, DE</w:t>
      </w:r>
    </w:p>
    <w:p>
      <w:r>
        <w:rPr>
          <w:b/>
        </w:rPr>
        <w:t xml:space="preserve">Quelle: </w:t>
      </w:r>
      <w:r>
        <w:t>https://mcp.opencaselaw.ch/entscheid/bvger_A-5530_2008</w:t>
      </w:r>
    </w:p>
    <w:p>
      <w:r>
        <w:t>FR: TAF A-5530/2008 du 11 décembre 2008</w:t>
      </w:r>
    </w:p>
    <w:p>
      <w:r>
        <w:t>IT: TAF A-5530/2008 del 11 dicembre 2008</w:t>
      </w:r>
    </w:p>
    <w:p>
      <w:pPr>
        <w:pStyle w:val="Heading2"/>
      </w:pPr>
      <w:r>
        <w:t>Regeste</w:t>
      </w:r>
    </w:p>
    <w:p>
      <w:r>
        <w:t>Luftfahrt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BAZL gehört zu den Behörden nach Art. 33 VGG und ist daher eine Vorinstanz des Bundesverwaltungsgerichts. Eine Ausnahme, was das Sachgebiet angeht, ist nicht gegeben (Art. 32 VGG). Das Bundesverwaltungsgericht ist daher für die Beurteilung der vorliegenden Beschwerde grundsätzlich zuständig.</w:t>
      </w:r>
    </w:p>
    <w:p>
      <w:r>
        <w:rPr>
          <w:b/>
        </w:rPr>
        <w:t>E. 2</w:t>
      </w:r>
    </w:p>
    <w:p>
      <w:r>
        <w:t>Im Verfahren vor dem Bundesverwaltungsgericht sind nur Rechtsverhältnisse zu überprüfen bzw. zu beurteilen, zu denen die zuständige Verwaltungsbehörde vorgängig und verbindlich - in Form einer Verfügung - Stellung genommen hat (ANDRÉ MOSER/MICHAEL BEUSCH/LORENZ KNEUBÜHLER, Prozessieren vor dem Bundesverwaltungsgericht, Basel 2008, Rz. 2.1). Fraglich und näher zu prüfen ist vorliegend, ob das vom Beschwerdeführer angefochtene Schreiben der Vorinstanz vom 28. Juli 2008 wie auch jenes vom 11. November 2008 eine Verfügung im Sinne des VwVG darstellt.</w:t>
      </w:r>
    </w:p>
    <w:p>
      <w:r>
        <w:rPr>
          <w:b/>
        </w:rPr>
        <w:t>E. 2.1</w:t>
      </w:r>
    </w:p>
    <w:p>
      <w:r>
        <w:t>Als Verfügungen gelten autoritative, einseitige, individuell-konkrete Anordnungen der Behörde, welche in Anwendung von Verwaltungsrecht ergangen, auf Rechtswirkungen ausgerichtet sowie verbindlich und erzwingbar sind. Art. 5 Abs. 1 VwVG definiert Verfügungen als Anordnungen von Behörden im Einzelfall, die sich auf öffentliches Recht des Bundes stützen (oder richtigerweise hätten stützen sollen) und zum Gegenstand haben: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das Nichteintreten auf solche Begehren (Bst. c). Zu den Verfügungen gehören sodann auch die in Art. 5 Abs. 2 VwVG genannten Rechtsanwendungsakte, wie z.B. die Zwischenverfügungen (vgl. zum Ganzen MOSER/BEUSCH/KNEUBÜHLER, a.a.O., Rz. 2.3 f.).</w:t>
      </w:r>
    </w:p>
    <w:p>
      <w:r>
        <w:rPr>
          <w:b/>
        </w:rPr>
        <w:t>E. 2.2</w:t>
      </w:r>
    </w:p>
    <w:p>
      <w:r>
        <w:t>Indem die Vorinstanz das Schreiben vom 28. Juli 2008 verfasst und sie dem Beschwerdeführer das von ihr festgelegte Vorgehen bekannt gegeben hat, liegt eine hoheitliche, einseitige Anordnung einer Behörde vor (vgl. zu den Elementen des Verfügungsbegriffs auch ULRICH HÄFELIN/GEORG MÜLLER/FELIX UHLMANN, Allgemeines Verwaltungsrecht, 5. Aufl., Zürich/Basel/Genf 2006, Rz. 858 ff.). Auch eine individuell-konkrete Anordnung liegt hier vor, war doch das fragliche Schreiben an den Beschwerdeführer persönlich gerichtet und war darin ein spezifischer Sachverhalt geregelt, nämlich die Umsetzung der SID bis zu einem bestimmten Zeitpunkt mit der Möglichkeit einer Fristverlängerung. Die Vorinstanz stützte diese Anordnung zwar nicht in jenem Schreiben, wohl aber in vorher und später verfassten Dokumenten auf verwaltungsrechtliche Normen, namentlich die VLL (vgl. Beschwerdebeilagen 7 und 10 sowie Vernehmlassung). Fraglich scheint indessen, ob das Schreiben vom 28. Juli 2008 eine auf Rechtswirkungen ausgerichtete Anordnung enthält. Zwar wird dem Beschwerdeführer im Schreiben eine Frist angesetzt; indessen hat die Vorinstanz für den Fall, dass er die Frist verpasst, keine Rechtsfolgen angeordnet. Gemäss den Ausführungen der Vorinstanz in ihrer Ergänzung zur Vernehmlassung hatte das Verpassen der Frist für den Beschwerdeführer und weitere betroffene Luftfahrzeughalter einzig zur Folge, dass sie mit einem weiteren Schreiben vom 11. November 2008 erneut zur Durchführung der verlangten Inspektionen aufgefordert wurden. Damit ist das Vorliegen einer auf Rechtswirkungen ausgerichteten Anordnung und damit einer Verfügung im Sinne von Art. 5 VwVG wohl zu verneinen. Die Frage kann indes aus nachfolgenden Gründen offen bleiben.</w:t>
      </w:r>
    </w:p>
    <w:p>
      <w:r>
        <w:rPr>
          <w:b/>
        </w:rPr>
        <w:t>E. 2.3</w:t>
      </w:r>
    </w:p>
    <w:p>
      <w:r>
        <w:t>Gegenstand des Verfahrens vor der Vorinstanz bildet letztlich die Lufttüchtigkeit des Flugzeugs HB-LCY. Während nach Darstellung der Vorinstanz zur Gewährleistung der Lufttüchtigkeit die Durchführung der SID Teil der notwendigen Instandhaltungsprogramme bildet, ist der Beschwerdeführer der Auffassung, dass die SID für den fraglichen Flugzeugtyp nicht gelten und ihm allenfalls ein alternatives Programm zu bewilligen sei. So oder anders wird am Ende jenes Verwaltungsverfahrens entweder die Anerkennung bzw. Verlängerung der Lufttüchtigkeit des Flugzeuges HB-LCY stehen oder aber, sofern die entsprechenden Voraussetzungen nach Auffassung der Vorinstanz nicht mehr erfüllt sind, der Entzug des Lufttüchtigkeitszeugnisses (Art. 52 VLL). Bis anhin hat die Vorinstanz weder die Lufttüchtigkeit des Flugzeuges anerkannt noch das Lufttüchtigkeitszeugnis entzogen; den Erlass einer Verfügung gemäss Art. 52 VLL hat die Vorinstanz dem Beschwerdeführer erst angedroht. Das Verwaltungsverfahren ist mithin noch nicht abgeschlossen. Das Schreiben vom 28. Juli 2008 stellt - soweit ihm überhaupt Verfügungscharakter attestiert wird - unter diesen Umständen keine Endverfügung dar, sondern vielmehr eine Zwischenverfügung. Als solche gelten Verfügungen, die das Verfahren vor der mit der Streitsache befassten Instanz nicht abschliessen, sondern nur einen Schritt auf dem Weg zur Verfahrenserledigung darstellen (vgl. MOSER/BEUSCH/KNEUBÜHLER, a.a.O., Rz. 2.41 ff., auch zum Folgenden). Die Verpflichtung an die Adresse des Beschwerdeführers, innert bestimmter Frist entweder die SID umzusetzen oder ein Fristverlängerungsgesuch zu stellen, ist eine solche Anordnung; sie stellt ein prozessuales Instrument für die Vorinstanz dar, die für den instanzabschliessenden Entscheid über die Lufttüchtigkeit des Flugzeugs HB-LCY massgebenden Unterlagen zusammenzutragen.</w:t>
      </w:r>
    </w:p>
    <w:p>
      <w:r>
        <w:rPr>
          <w:b/>
        </w:rPr>
        <w:t>E. 2.4</w:t>
      </w:r>
    </w:p>
    <w:p>
      <w:r>
        <w:t>Zwischenverfügungen sind nur unter bestimmten Voraussetzungen selbständig anfechtbar. Gegen selbständig eröffnete Zwischenverfügungen über die Zuständigkeit und über Ausstandsbegehren ist die Beschwerde an das Bundesverwaltungsgericht zulässig (Art. 45 Abs. 1 VwVG). Gegen sämtliche anderen selbständig eröffneten Zwischenverfügungen ist die Beschwerde nach Art. 46 Abs. 1 VwVG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w:t>
      </w:r>
    </w:p>
    <w:p>
      <w:r>
        <w:rPr>
          <w:b/>
        </w:rPr>
        <w:t>E. 2.5</w:t>
      </w:r>
    </w:p>
    <w:p>
      <w:r>
        <w:t>Eine Zwischenverfügung im Sinne von Art. 45 Abs. 1 VwVG liegt hier offensichtlich nicht vor und die Voraussetzungen von Art. 46 Abs. 1 VwVG sind ebenfalls nicht erfült: Der Beschwerdeführer kann seine Auffassung, wonach die fraglichen SID für sein Flugzeug nicht anwendbar seien, ihm die Vorinstanz zu Unrecht die Durchführung eines alternativen Prüfprogramms versagt und sie eine Praxisänderung vorgenommen habe, ohne weiteres in einer Beschwerde gegen eine allfällige Endverfügung, mit welcher die Vorinstanz das Lufttüchtigkeitszeugnis für das Flugzeug HB-LCY entzieht, vorbringen. Sodann würde mit einer Aufhebung der angesetzten Frist die Frage der Lufttüchtigkeit des besagten Flugzeugs nicht abschliessend beurteilt, würde das entsprechende Beweisverfahren mithin nicht entfallen.</w:t>
      </w:r>
    </w:p>
    <w:p>
      <w:r>
        <w:rPr>
          <w:b/>
        </w:rPr>
        <w:t>E. 2.6</w:t>
      </w:r>
    </w:p>
    <w:p>
      <w:r>
        <w:t>Es ist demnach festzuhalten, dass das Schreiben vom 28. Juli 2008, soweit dieses als Zwischenverfügung zu qualifizieren ist, nicht mit Beschwerde vor Bundesverwaltungsgericht angefochten werden kann.</w:t>
      </w:r>
    </w:p>
    <w:p>
      <w:r>
        <w:rPr>
          <w:b/>
        </w:rPr>
        <w:t>E. 3</w:t>
      </w:r>
    </w:p>
    <w:p>
      <w:r>
        <w:t>Oben genannte Grundsätze gelten auch mit Bezug auf das vom Beschwerdeführer in seiner Replik beanstandete Schreiben der Vorinstanz vom 11. November 2008. Mit jenem Schreiben wurde dem Beschwerdeführer zwar der Entzug des Lufttüchtigkeitszeugnisses angedroht, falls er die dort eingeforderten Berichte nicht innert Frist einreicht. Indessen stellt auch jenes Schreiben keine instanzabschliessende (End-)Verfügung dar und dem Beschwerdeführer steht es ebenso offen, seine Einwendungen im Rahmen eines allfälligen Beschwerdeverfahrens betreffend den Entzug des Lufttüchtigkeitszeugnisses vorzutragen.</w:t>
      </w:r>
    </w:p>
    <w:p>
      <w:r>
        <w:rPr>
          <w:b/>
        </w:rPr>
        <w:t>E. 4</w:t>
      </w:r>
    </w:p>
    <w:p>
      <w:r>
        <w:t>Aus den dargelegten Gründen ist mangels einer anfechtbaren Verfügung auf die Beschwerden vom 27. August 2008 und vom 4. Dezember 2008 nicht einzutreten.</w:t>
      </w:r>
    </w:p>
    <w:p>
      <w:r>
        <w:rPr>
          <w:b/>
        </w:rPr>
        <w:t>E. 5</w:t>
      </w:r>
    </w:p>
    <w:p>
      <w:r>
        <w:t>Bei diesem Ausgang des Verfahrens trägt der Beschwerdeführer die Kosten des Verfahrens (Art. 63 Abs. 1 VwVG). Diese werden bestimmt auf Fr. 1'000.-- und mit dem geleisteten Kostenvorschuss verrechnet.</w:t>
      </w:r>
    </w:p>
    <w:p>
      <w:r>
        <w:rPr>
          <w:b/>
        </w:rPr>
        <w:t>E. 6</w:t>
      </w:r>
    </w:p>
    <w:p>
      <w:r>
        <w:t>Dem unterliegenden Beschwerdeführer und der Vorinstanz werden keine Parteientschädigungen zugesprochen (Art. 64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